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ascii="方正小标宋简体" w:hAnsi="方正小标宋简体" w:eastAsia="方正小标宋简体" w:cs="方正小标宋简体"/>
          <w:sz w:val="44"/>
          <w:szCs w:val="44"/>
        </w:rPr>
        <w:t>5</w:t>
      </w:r>
      <w:r>
        <w:rPr>
          <w:rFonts w:hint="eastAsia" w:ascii="方正小标宋简体" w:hAnsi="方正小标宋简体" w:eastAsia="方正小标宋简体" w:cs="方正小标宋简体"/>
          <w:sz w:val="44"/>
          <w:szCs w:val="44"/>
        </w:rPr>
        <w:t>年度赤峰市司法局</w:t>
      </w:r>
    </w:p>
    <w:p>
      <w:pPr>
        <w:spacing w:line="58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本级决算公开</w:t>
      </w:r>
      <w:r>
        <w:rPr>
          <w:rFonts w:hint="eastAsia" w:ascii="方正小标宋简体" w:hAnsi="方正小标宋简体" w:eastAsia="方正小标宋简体" w:cs="方正小标宋简体"/>
          <w:sz w:val="44"/>
          <w:szCs w:val="44"/>
          <w:lang w:eastAsia="zh-CN"/>
        </w:rPr>
        <w:t>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pStyle w:val="2"/>
        <w:ind w:left="0" w:leftChars="0" w:firstLine="0" w:firstLineChars="0"/>
        <w:jc w:val="center"/>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部门名称：赤峰市司法局本级</w:t>
      </w:r>
    </w:p>
    <w:p>
      <w:pPr>
        <w:pStyle w:val="2"/>
        <w:ind w:firstLine="1920" w:firstLineChars="6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单位负责人：汪丽娜</w:t>
      </w:r>
    </w:p>
    <w:p>
      <w:pPr>
        <w:pStyle w:val="2"/>
        <w:ind w:firstLine="1920" w:firstLineChars="6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财务负责人：闫宇辰</w:t>
      </w:r>
    </w:p>
    <w:p>
      <w:pPr>
        <w:pStyle w:val="2"/>
        <w:ind w:firstLine="1920" w:firstLineChars="6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编制人：廉岸琦</w:t>
      </w:r>
    </w:p>
    <w:p>
      <w:pPr>
        <w:pStyle w:val="2"/>
        <w:ind w:firstLine="1920" w:firstLineChars="600"/>
        <w:jc w:val="both"/>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报送日期：2026年8月</w:t>
      </w:r>
    </w:p>
    <w:p>
      <w:pPr>
        <w:pStyle w:val="2"/>
        <w:rPr>
          <w:rFonts w:hint="default" w:ascii="仿宋_GB2312" w:hAnsi="仿宋_GB2312" w:eastAsia="仿宋_GB2312" w:cs="仿宋_GB2312"/>
          <w:kern w:val="0"/>
          <w:sz w:val="32"/>
          <w:szCs w:val="32"/>
          <w:lang w:val="en-US" w:eastAsia="zh-CN" w:bidi="ar-SA"/>
        </w:rPr>
      </w:pPr>
    </w:p>
    <w:p>
      <w:pPr>
        <w:widowControl/>
        <w:spacing w:line="580" w:lineRule="exact"/>
        <w:jc w:val="both"/>
        <w:rPr>
          <w:rFonts w:ascii="方正小标宋简体" w:hAnsi="方正小标宋简体" w:eastAsia="方正小标宋简体" w:cs="方正小标宋简体"/>
          <w:kern w:val="0"/>
          <w:sz w:val="36"/>
          <w:szCs w:val="36"/>
        </w:rPr>
      </w:pPr>
      <w:bookmarkStart w:id="0" w:name="a000"/>
    </w:p>
    <w:p>
      <w:pPr>
        <w:widowControl/>
        <w:spacing w:line="580" w:lineRule="exact"/>
        <w:jc w:val="center"/>
        <w:rPr>
          <w:rFonts w:hint="eastAsia" w:ascii="方正小标宋简体" w:hAnsi="方正小标宋简体" w:eastAsia="方正小标宋简体" w:cs="方正小标宋简体"/>
          <w:kern w:val="0"/>
          <w:sz w:val="36"/>
          <w:szCs w:val="36"/>
        </w:rPr>
      </w:pPr>
    </w:p>
    <w:p>
      <w:pPr>
        <w:widowControl/>
        <w:spacing w:line="580" w:lineRule="exact"/>
        <w:jc w:val="center"/>
        <w:rPr>
          <w:rFonts w:hint="eastAsia" w:ascii="方正小标宋简体" w:hAnsi="方正小标宋简体" w:eastAsia="方正小标宋简体" w:cs="方正小标宋简体"/>
          <w:kern w:val="0"/>
          <w:sz w:val="36"/>
          <w:szCs w:val="36"/>
        </w:rPr>
      </w:pPr>
    </w:p>
    <w:p>
      <w:pPr>
        <w:widowControl/>
        <w:spacing w:line="580" w:lineRule="exact"/>
        <w:jc w:val="center"/>
        <w:rPr>
          <w:rFonts w:ascii="方正小标宋简体" w:hAnsi="方正小标宋简体" w:eastAsia="方正小标宋简体" w:cs="方正小标宋简体"/>
          <w:kern w:val="0"/>
          <w:sz w:val="36"/>
          <w:szCs w:val="36"/>
        </w:rPr>
      </w:pPr>
      <w:bookmarkStart w:id="5" w:name="_GoBack"/>
      <w:bookmarkEnd w:id="5"/>
      <w:r>
        <w:rPr>
          <w:rFonts w:hint="eastAsia" w:ascii="方正小标宋简体" w:hAnsi="方正小标宋简体" w:eastAsia="方正小标宋简体" w:cs="方正小标宋简体"/>
          <w:kern w:val="0"/>
          <w:sz w:val="36"/>
          <w:szCs w:val="36"/>
        </w:rPr>
        <w:t>目 录</w:t>
      </w:r>
    </w:p>
    <w:p>
      <w:pPr>
        <w:pStyle w:val="2"/>
        <w:rPr>
          <w:rFonts w:hint="default"/>
        </w:rPr>
      </w:pPr>
    </w:p>
    <w:p>
      <w:pPr>
        <w:widowControl/>
        <w:spacing w:line="580" w:lineRule="exact"/>
        <w:rPr>
          <w:rFonts w:ascii="黑体" w:hAnsi="黑体" w:eastAsia="黑体" w:cs="黑体"/>
          <w:kern w:val="0"/>
          <w:sz w:val="32"/>
          <w:szCs w:val="32"/>
        </w:rPr>
      </w:pPr>
      <w:r>
        <w:rPr>
          <w:rFonts w:hint="eastAsia" w:ascii="黑体" w:hAnsi="黑体" w:eastAsia="黑体" w:cs="黑体"/>
          <w:kern w:val="0"/>
          <w:sz w:val="32"/>
          <w:szCs w:val="32"/>
        </w:rPr>
        <w:t>第一部分 单位概况</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一、主要职能、职责</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二、单位机构设置及决算单位构成情况</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三、202</w:t>
      </w: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年度单位主要工作完成情况</w:t>
      </w:r>
    </w:p>
    <w:p>
      <w:pPr>
        <w:widowControl/>
        <w:numPr>
          <w:ilvl w:val="0"/>
          <w:numId w:val="1"/>
        </w:numPr>
        <w:spacing w:line="580" w:lineRule="exact"/>
        <w:rPr>
          <w:rFonts w:ascii="黑体" w:hAnsi="黑体" w:eastAsia="黑体" w:cs="黑体"/>
          <w:kern w:val="0"/>
          <w:sz w:val="32"/>
          <w:szCs w:val="32"/>
        </w:rPr>
      </w:pPr>
      <w:r>
        <w:rPr>
          <w:rFonts w:hint="eastAsia" w:ascii="黑体" w:hAnsi="黑体" w:eastAsia="黑体" w:cs="黑体"/>
          <w:kern w:val="0"/>
          <w:sz w:val="32"/>
          <w:szCs w:val="32"/>
        </w:rPr>
        <w:t>单位决算情况说明</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一、收入支出决算总体情况说明</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二、收入决算情况说明</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三、支出决算情况说明</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四、财政拨款收入支出决算总体情况说明</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五、一般公共预算财政拨款支出决算情况说明</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六、一般公共预算财政拨款基本支出决算情况说明</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七、一般公共预算财政拨款项目支出决算情况说明</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八、财政拨款“三公”经费支出决算情况说明</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九、政府性基金预算财政拨款支出决算情况说明</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十、国有资本经营预算财政拨款支出决算情况说明</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十一、机构运行经费支出决算情况说明</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十二、政府采购支出决算情况说明</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十三、国有资产占用情况说明</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十四、预算绩效情况说明</w:t>
      </w:r>
    </w:p>
    <w:p>
      <w:pPr>
        <w:widowControl/>
        <w:spacing w:line="580" w:lineRule="exact"/>
        <w:rPr>
          <w:rFonts w:hint="eastAsia" w:ascii="黑体" w:hAnsi="黑体" w:eastAsia="黑体" w:cs="黑体"/>
          <w:kern w:val="0"/>
          <w:sz w:val="32"/>
          <w:szCs w:val="32"/>
        </w:rPr>
      </w:pPr>
    </w:p>
    <w:p>
      <w:pPr>
        <w:widowControl/>
        <w:spacing w:line="580" w:lineRule="exact"/>
        <w:rPr>
          <w:rFonts w:ascii="黑体" w:hAnsi="黑体" w:eastAsia="黑体" w:cs="黑体"/>
          <w:kern w:val="0"/>
          <w:sz w:val="32"/>
          <w:szCs w:val="32"/>
        </w:rPr>
      </w:pPr>
      <w:r>
        <w:rPr>
          <w:rFonts w:hint="eastAsia" w:ascii="黑体" w:hAnsi="黑体" w:eastAsia="黑体" w:cs="黑体"/>
          <w:kern w:val="0"/>
          <w:sz w:val="32"/>
          <w:szCs w:val="32"/>
        </w:rPr>
        <w:t>第三部分 名词解释</w:t>
      </w:r>
    </w:p>
    <w:p>
      <w:pPr>
        <w:widowControl/>
        <w:spacing w:line="580" w:lineRule="exact"/>
        <w:rPr>
          <w:rFonts w:ascii="黑体" w:hAnsi="黑体" w:eastAsia="黑体" w:cs="黑体"/>
          <w:kern w:val="0"/>
          <w:sz w:val="32"/>
          <w:szCs w:val="32"/>
        </w:rPr>
      </w:pPr>
      <w:r>
        <w:rPr>
          <w:rFonts w:hint="eastAsia" w:ascii="黑体" w:hAnsi="黑体" w:eastAsia="黑体" w:cs="黑体"/>
          <w:kern w:val="0"/>
          <w:sz w:val="32"/>
          <w:szCs w:val="32"/>
        </w:rPr>
        <w:t>第四部分 决算公开联系方式及信息反馈渠道</w:t>
      </w:r>
    </w:p>
    <w:p>
      <w:pPr>
        <w:widowControl/>
        <w:spacing w:line="580" w:lineRule="exact"/>
        <w:rPr>
          <w:rFonts w:ascii="黑体" w:hAnsi="黑体" w:eastAsia="黑体" w:cs="黑体"/>
          <w:kern w:val="0"/>
          <w:sz w:val="32"/>
          <w:szCs w:val="32"/>
        </w:rPr>
      </w:pPr>
      <w:r>
        <w:rPr>
          <w:rFonts w:hint="eastAsia" w:ascii="黑体" w:hAnsi="黑体" w:eastAsia="黑体" w:cs="黑体"/>
          <w:kern w:val="0"/>
          <w:sz w:val="32"/>
          <w:szCs w:val="32"/>
        </w:rPr>
        <w:t>第五部分 单位决算表</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一、收入支出决算总表</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二、收入决算表</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三、支出决算表</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四、财政拨款收入支出决算总表</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五、一般公共预算财政拨款支出决算表</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六、一般公共预算财政拨款基本支出决算明细表</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七、一般公共预算财政拨款项目支出决算明细表</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八、政府性基金预算财政拨款收入支出决算表</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九、国有资本经营预算财政拨款支出决算表</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十、财政拨款“三公”经费支出决算表</w:t>
      </w:r>
    </w:p>
    <w:p>
      <w:pPr>
        <w:widowControl/>
        <w:spacing w:line="58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十一、机构运行经费支出、国有资产占用情况及政府采购支出信息表</w:t>
      </w:r>
    </w:p>
    <w:p>
      <w:pPr>
        <w:widowControl/>
        <w:spacing w:before="240" w:after="240" w:line="580" w:lineRule="exact"/>
        <w:rPr>
          <w:rFonts w:eastAsia="Times New Roman"/>
          <w:kern w:val="0"/>
          <w:sz w:val="24"/>
        </w:rPr>
      </w:pPr>
    </w:p>
    <w:p>
      <w:pPr>
        <w:pStyle w:val="2"/>
        <w:rPr>
          <w:rFonts w:eastAsia="Times New Roman"/>
          <w:kern w:val="0"/>
          <w:sz w:val="24"/>
        </w:rPr>
      </w:pPr>
    </w:p>
    <w:p>
      <w:pPr>
        <w:pStyle w:val="2"/>
        <w:rPr>
          <w:rFonts w:eastAsia="Times New Roman"/>
          <w:kern w:val="0"/>
          <w:sz w:val="24"/>
        </w:rPr>
      </w:pPr>
    </w:p>
    <w:p>
      <w:pPr>
        <w:pStyle w:val="2"/>
        <w:rPr>
          <w:rFonts w:hint="default" w:ascii="Times New Roman" w:hAnsi="Times New Roman" w:eastAsia="Times New Roman"/>
          <w:kern w:val="0"/>
        </w:rPr>
      </w:pPr>
    </w:p>
    <w:p>
      <w:pPr>
        <w:pStyle w:val="2"/>
        <w:rPr>
          <w:rFonts w:hint="default" w:ascii="Times New Roman" w:hAnsi="Times New Roman" w:eastAsia="Times New Roman"/>
          <w:kern w:val="0"/>
        </w:rPr>
      </w:pPr>
    </w:p>
    <w:p>
      <w:pPr>
        <w:pStyle w:val="2"/>
        <w:rPr>
          <w:rFonts w:hint="default" w:ascii="Times New Roman" w:hAnsi="Times New Roman" w:eastAsia="Times New Roman"/>
          <w:kern w:val="0"/>
        </w:rPr>
      </w:pPr>
    </w:p>
    <w:p>
      <w:pPr>
        <w:pStyle w:val="2"/>
        <w:rPr>
          <w:rFonts w:hint="default" w:ascii="Times New Roman" w:hAnsi="Times New Roman" w:eastAsia="Times New Roman"/>
          <w:kern w:val="0"/>
        </w:rPr>
      </w:pPr>
    </w:p>
    <w:p>
      <w:pPr>
        <w:pStyle w:val="2"/>
        <w:rPr>
          <w:rFonts w:hint="default" w:ascii="Times New Roman" w:hAnsi="Times New Roman" w:eastAsia="Times New Roman"/>
          <w:kern w:val="0"/>
        </w:rPr>
      </w:pPr>
    </w:p>
    <w:p>
      <w:pPr>
        <w:pStyle w:val="2"/>
        <w:rPr>
          <w:rFonts w:hint="default" w:ascii="Times New Roman" w:hAnsi="Times New Roman" w:eastAsia="Times New Roman"/>
          <w:kern w:val="0"/>
        </w:rPr>
      </w:pPr>
    </w:p>
    <w:p>
      <w:pPr>
        <w:widowControl/>
        <w:spacing w:line="580" w:lineRule="exact"/>
        <w:rPr>
          <w:rFonts w:ascii="方正小标宋简体" w:hAnsi="方正小标宋简体" w:eastAsia="方正小标宋简体" w:cs="方正小标宋简体"/>
          <w:kern w:val="0"/>
          <w:sz w:val="36"/>
          <w:szCs w:val="36"/>
        </w:rPr>
      </w:pPr>
    </w:p>
    <w:p>
      <w:pPr>
        <w:widowControl/>
        <w:numPr>
          <w:ilvl w:val="0"/>
          <w:numId w:val="2"/>
        </w:numPr>
        <w:spacing w:line="580" w:lineRule="exact"/>
        <w:jc w:val="center"/>
        <w:rPr>
          <w:rFonts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 xml:space="preserve"> 单位概况</w:t>
      </w:r>
    </w:p>
    <w:p>
      <w:pPr>
        <w:pStyle w:val="2"/>
        <w:ind w:left="0" w:leftChars="0" w:firstLine="0"/>
        <w:rPr>
          <w:rFonts w:hint="default"/>
        </w:rPr>
      </w:pPr>
    </w:p>
    <w:p>
      <w:pPr>
        <w:widowControl/>
        <w:spacing w:line="58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一、主要职能、职责</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负责全面依法治市重大问题的政策研究，协调有关方面提出全面依法治市中长期规划建议，负责有关决策部署的督察工作；</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 承担统筹规划立法工作的责任；</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 负责起草或者组织起草有关地方性法规和政府规章草案；</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 承办市人民政府规章的解释、立法后评估工作；</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 承担统筹推进法治政府建设的责任；</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 承担统筹规划法治社会建设的责任；</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 负责指导、管理全市社区矫正工作，指导全市刑满释放人员帮教安置工作；</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 拟定全市公共法律服务体系建设规划并指导实施，统筹和布局城乡、区域法律服务资源；</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 负责国家统一法律职业资格考试赤峰考区的组织实施工作；</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 负责全市司法行政系统服装和警车管理工作，指导、监督全市司法行政系统财务、装备、设施、场所等保障工作；</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 规划、协调、指导全市法治人才队伍建设相关工作，指导、监督全市司法行政队伍建设；</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 规划、实施、指导全市司法行政信息化建设；</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 管理赤峰市强制隔离戒毒所；</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 承担市委全面依法治市委员会日常工作；</w:t>
      </w:r>
    </w:p>
    <w:p>
      <w:pPr>
        <w:widowControl/>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完成市委、市政府交办的其他任务；</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16</w:t>
      </w:r>
      <w:r>
        <w:rPr>
          <w:rFonts w:hint="eastAsia" w:ascii="仿宋_GB2312" w:eastAsia="仿宋_GB2312"/>
          <w:sz w:val="32"/>
          <w:szCs w:val="32"/>
          <w:lang w:val="en-US" w:eastAsia="zh-CN"/>
        </w:rPr>
        <w:t xml:space="preserve">. </w:t>
      </w:r>
      <w:r>
        <w:rPr>
          <w:rFonts w:hint="eastAsia" w:ascii="仿宋_GB2312" w:eastAsia="仿宋_GB2312"/>
          <w:sz w:val="32"/>
          <w:szCs w:val="32"/>
        </w:rPr>
        <w:t>将铸牢中华民族共同体意识贯穿司法行政工作全过程各方面，做好民族理论、民族政策、民族法律法规等基本知识的宣传工作；</w:t>
      </w:r>
    </w:p>
    <w:p>
      <w:pPr>
        <w:spacing w:line="570" w:lineRule="exact"/>
        <w:ind w:firstLine="640" w:firstLineChars="200"/>
      </w:pPr>
      <w:r>
        <w:rPr>
          <w:rFonts w:hint="eastAsia" w:ascii="仿宋_GB2312" w:eastAsia="仿宋_GB2312"/>
          <w:sz w:val="32"/>
          <w:szCs w:val="32"/>
        </w:rPr>
        <w:t>17</w:t>
      </w:r>
      <w:r>
        <w:rPr>
          <w:rFonts w:hint="eastAsia" w:ascii="仿宋_GB2312" w:eastAsia="仿宋_GB2312"/>
          <w:sz w:val="32"/>
          <w:szCs w:val="32"/>
          <w:lang w:val="en-US" w:eastAsia="zh-CN"/>
        </w:rPr>
        <w:t xml:space="preserve">. </w:t>
      </w:r>
      <w:r>
        <w:rPr>
          <w:rFonts w:hint="eastAsia" w:ascii="仿宋_GB2312" w:eastAsia="仿宋_GB2312"/>
          <w:sz w:val="32"/>
          <w:szCs w:val="32"/>
        </w:rPr>
        <w:t>在履行职责过程中统筹发展和安全，有效防范化解各类风险挑战，实现高质量发展和高水平安全的良性互动。</w:t>
      </w:r>
    </w:p>
    <w:p>
      <w:pPr>
        <w:widowControl/>
        <w:spacing w:line="580" w:lineRule="exact"/>
        <w:ind w:firstLine="640" w:firstLineChars="200"/>
        <w:rPr>
          <w:rFonts w:eastAsia="Times New Roman"/>
          <w:kern w:val="0"/>
          <w:sz w:val="24"/>
        </w:rPr>
      </w:pPr>
      <w:r>
        <w:rPr>
          <w:rFonts w:hint="eastAsia" w:ascii="黑体" w:hAnsi="黑体" w:eastAsia="黑体" w:cs="黑体"/>
          <w:kern w:val="0"/>
          <w:sz w:val="32"/>
          <w:szCs w:val="32"/>
        </w:rPr>
        <w:t>二、单位机构设置及决算单位构成情况</w:t>
      </w:r>
    </w:p>
    <w:p>
      <w:pPr>
        <w:spacing w:line="580" w:lineRule="exact"/>
        <w:ind w:firstLine="540" w:firstLineChars="200"/>
        <w:rPr>
          <w:rFonts w:ascii="仿宋_GB2312" w:hAnsi="仿宋_GB2312" w:eastAsia="仿宋_GB2312" w:cs="仿宋_GB2312"/>
          <w:kern w:val="0"/>
          <w:sz w:val="32"/>
          <w:szCs w:val="32"/>
        </w:rPr>
      </w:pPr>
      <w:r>
        <w:rPr>
          <w:rFonts w:ascii="times_new_roman" w:hAnsi="times_new_roman" w:eastAsia="times_new_roman" w:cs="times_new_roman"/>
          <w:kern w:val="0"/>
          <w:sz w:val="27"/>
          <w:szCs w:val="27"/>
        </w:rPr>
        <w:t> </w:t>
      </w:r>
      <w:r>
        <w:rPr>
          <w:rFonts w:hint="eastAsia" w:ascii="仿宋_GB2312" w:hAnsi="仿宋_GB2312" w:eastAsia="仿宋_GB2312" w:cs="仿宋_GB2312"/>
          <w:kern w:val="0"/>
          <w:sz w:val="32"/>
          <w:szCs w:val="32"/>
        </w:rPr>
        <w:t>1.根据单位职责分工，本单位内设机构包括办公室、法治调研与</w:t>
      </w:r>
      <w:r>
        <w:rPr>
          <w:rFonts w:ascii="仿宋_GB2312" w:hAnsi="仿宋_GB2312" w:eastAsia="仿宋_GB2312" w:cs="仿宋_GB2312"/>
          <w:kern w:val="0"/>
          <w:sz w:val="32"/>
          <w:szCs w:val="32"/>
        </w:rPr>
        <w:t>改革</w:t>
      </w:r>
      <w:r>
        <w:rPr>
          <w:rFonts w:hint="eastAsia" w:ascii="仿宋_GB2312" w:hAnsi="仿宋_GB2312" w:eastAsia="仿宋_GB2312" w:cs="仿宋_GB2312"/>
          <w:kern w:val="0"/>
          <w:sz w:val="32"/>
          <w:szCs w:val="32"/>
        </w:rPr>
        <w:t>科、立法科、复议一科、复议二科、复议三科、行政执法协调监督局、普法与依法治理科、人民参与和促进法治科、社区矫正执法支队、公共法律服务管理科、律师工作和法律职业资格管理科，科技信息化科、人事警务科、市委全面依法治市委员会办公室秘书科、机关党办、不单独核算二级参照公务员法管理事业单位赤峰市法律援助中心。本单位下属单位包括：本单位无独立核算下属单位。</w:t>
      </w:r>
    </w:p>
    <w:p>
      <w:pPr>
        <w:spacing w:line="580" w:lineRule="exact"/>
        <w:ind w:firstLine="640" w:firstLineChars="200"/>
        <w:rPr>
          <w:rFonts w:hint="default"/>
        </w:rPr>
      </w:pPr>
      <w:r>
        <w:rPr>
          <w:rFonts w:hint="eastAsia" w:ascii="仿宋_GB2312" w:hAnsi="仿宋_GB2312" w:eastAsia="仿宋_GB2312" w:cs="仿宋_GB2312"/>
          <w:kern w:val="0"/>
          <w:sz w:val="32"/>
          <w:szCs w:val="32"/>
        </w:rPr>
        <w:t>2.从决算单位构成看，纳入本单位202</w:t>
      </w: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年单位汇总决算编制范围的预算单位共计1家，具体包括：赤峰市司法局（本级）。详细情况见表：</w:t>
      </w:r>
    </w:p>
    <w:tbl>
      <w:tblPr>
        <w:tblStyle w:val="20"/>
        <w:tblW w:w="4561" w:type="pct"/>
        <w:jc w:val="center"/>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1137"/>
        <w:gridCol w:w="3502"/>
        <w:gridCol w:w="3573"/>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jc w:val="center"/>
        </w:trPr>
        <w:tc>
          <w:tcPr>
            <w:tcW w:w="692" w:type="pct"/>
            <w:tcBorders>
              <w:bottom w:val="inset" w:color="808080" w:sz="6" w:space="0"/>
              <w:right w:val="inset" w:color="808080" w:sz="6" w:space="0"/>
            </w:tcBorders>
            <w:noWrap/>
            <w:tcMar>
              <w:top w:w="22" w:type="dxa"/>
              <w:left w:w="22" w:type="dxa"/>
              <w:bottom w:w="22" w:type="dxa"/>
              <w:right w:w="22" w:type="dxa"/>
            </w:tcMar>
            <w:vAlign w:val="center"/>
          </w:tcPr>
          <w:p>
            <w:pPr>
              <w:widowControl/>
              <w:spacing w:line="580"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序号</w:t>
            </w:r>
          </w:p>
        </w:tc>
        <w:tc>
          <w:tcPr>
            <w:tcW w:w="2132" w:type="pct"/>
            <w:tcBorders>
              <w:left w:val="inset" w:color="808080" w:sz="6" w:space="0"/>
              <w:bottom w:val="inset" w:color="808080" w:sz="6" w:space="0"/>
              <w:right w:val="inset" w:color="808080" w:sz="6" w:space="0"/>
            </w:tcBorders>
            <w:noWrap/>
            <w:tcMar>
              <w:top w:w="22" w:type="dxa"/>
              <w:left w:w="22" w:type="dxa"/>
              <w:bottom w:w="22" w:type="dxa"/>
              <w:right w:w="22" w:type="dxa"/>
            </w:tcMar>
            <w:vAlign w:val="center"/>
          </w:tcPr>
          <w:p>
            <w:pPr>
              <w:widowControl/>
              <w:spacing w:line="580"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单位名称</w:t>
            </w:r>
          </w:p>
        </w:tc>
        <w:tc>
          <w:tcPr>
            <w:tcW w:w="2175" w:type="pct"/>
            <w:tcBorders>
              <w:left w:val="inset" w:color="808080" w:sz="6" w:space="0"/>
              <w:bottom w:val="inset" w:color="808080" w:sz="6" w:space="0"/>
            </w:tcBorders>
            <w:noWrap/>
            <w:tcMar>
              <w:top w:w="22" w:type="dxa"/>
              <w:left w:w="22" w:type="dxa"/>
              <w:bottom w:w="22" w:type="dxa"/>
              <w:right w:w="22" w:type="dxa"/>
            </w:tcMar>
            <w:vAlign w:val="center"/>
          </w:tcPr>
          <w:p>
            <w:pPr>
              <w:widowControl/>
              <w:spacing w:line="580"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jc w:val="center"/>
        </w:trPr>
        <w:tc>
          <w:tcPr>
            <w:tcW w:w="692" w:type="pct"/>
            <w:tcBorders>
              <w:top w:val="inset" w:color="808080" w:sz="6" w:space="0"/>
              <w:bottom w:val="inset" w:color="808080" w:sz="6" w:space="0"/>
              <w:right w:val="inset" w:color="808080" w:sz="6" w:space="0"/>
            </w:tcBorders>
            <w:noWrap/>
            <w:tcMar>
              <w:top w:w="22" w:type="dxa"/>
              <w:left w:w="22" w:type="dxa"/>
              <w:bottom w:w="22" w:type="dxa"/>
              <w:right w:w="22" w:type="dxa"/>
            </w:tcMar>
            <w:vAlign w:val="center"/>
          </w:tcPr>
          <w:p>
            <w:pPr>
              <w:widowControl/>
              <w:spacing w:line="580"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p>
        </w:tc>
        <w:tc>
          <w:tcPr>
            <w:tcW w:w="2132" w:type="pct"/>
            <w:tcBorders>
              <w:top w:val="inset" w:color="808080" w:sz="6" w:space="0"/>
              <w:left w:val="inset" w:color="808080" w:sz="6" w:space="0"/>
              <w:bottom w:val="inset" w:color="808080" w:sz="6" w:space="0"/>
              <w:right w:val="inset" w:color="808080" w:sz="6" w:space="0"/>
            </w:tcBorders>
            <w:noWrap/>
            <w:tcMar>
              <w:top w:w="22" w:type="dxa"/>
              <w:left w:w="22" w:type="dxa"/>
              <w:bottom w:w="22" w:type="dxa"/>
              <w:right w:w="22" w:type="dxa"/>
            </w:tcMar>
            <w:vAlign w:val="center"/>
          </w:tcPr>
          <w:p>
            <w:pPr>
              <w:widowControl/>
              <w:spacing w:line="580"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w:t>
            </w:r>
          </w:p>
        </w:tc>
        <w:tc>
          <w:tcPr>
            <w:tcW w:w="2175" w:type="pct"/>
            <w:tcBorders>
              <w:top w:val="inset" w:color="808080" w:sz="6" w:space="0"/>
              <w:left w:val="inset" w:color="808080" w:sz="6" w:space="0"/>
              <w:bottom w:val="inset" w:color="808080" w:sz="6" w:space="0"/>
            </w:tcBorders>
            <w:noWrap/>
            <w:tcMar>
              <w:top w:w="22" w:type="dxa"/>
              <w:left w:w="22" w:type="dxa"/>
              <w:bottom w:w="22" w:type="dxa"/>
              <w:right w:w="22" w:type="dxa"/>
            </w:tcMar>
            <w:vAlign w:val="center"/>
          </w:tcPr>
          <w:p>
            <w:pPr>
              <w:widowControl/>
              <w:spacing w:line="580"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财政拨款的行政单位</w:t>
            </w:r>
          </w:p>
        </w:tc>
      </w:tr>
    </w:tbl>
    <w:p>
      <w:pPr>
        <w:widowControl/>
        <w:spacing w:before="240" w:after="240" w:line="580" w:lineRule="exact"/>
        <w:rPr>
          <w:rFonts w:ascii="黑体" w:hAnsi="黑体" w:eastAsia="黑体" w:cs="黑体"/>
          <w:kern w:val="0"/>
          <w:sz w:val="32"/>
          <w:szCs w:val="32"/>
        </w:rPr>
      </w:pPr>
    </w:p>
    <w:p>
      <w:pPr>
        <w:widowControl/>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三、202</w:t>
      </w:r>
      <w:r>
        <w:rPr>
          <w:rFonts w:ascii="黑体" w:hAnsi="黑体" w:eastAsia="黑体" w:cs="黑体"/>
          <w:kern w:val="0"/>
          <w:sz w:val="32"/>
          <w:szCs w:val="32"/>
        </w:rPr>
        <w:t>5</w:t>
      </w:r>
      <w:r>
        <w:rPr>
          <w:rFonts w:hint="eastAsia" w:ascii="黑体" w:hAnsi="黑体" w:eastAsia="黑体" w:cs="黑体"/>
          <w:kern w:val="0"/>
          <w:sz w:val="32"/>
          <w:szCs w:val="32"/>
        </w:rPr>
        <w:t>年度单位主要工作完成情况</w:t>
      </w:r>
    </w:p>
    <w:p>
      <w:pPr>
        <w:spacing w:line="560" w:lineRule="exact"/>
        <w:ind w:firstLine="640" w:firstLineChars="200"/>
        <w:rPr>
          <w:rFonts w:ascii="仿宋_GB2312" w:hAnsi="仿宋_GB2312" w:eastAsia="仿宋_GB2312" w:cs="仿宋_GB2312"/>
          <w:kern w:val="0"/>
          <w:sz w:val="32"/>
          <w:szCs w:val="32"/>
        </w:rPr>
      </w:pPr>
      <w:r>
        <w:rPr>
          <w:rFonts w:hint="eastAsia" w:ascii="楷体" w:hAnsi="楷体" w:eastAsia="楷体" w:cs="楷体"/>
          <w:sz w:val="32"/>
          <w:szCs w:val="32"/>
        </w:rPr>
        <w:t>（一）重点工作完成情况。</w:t>
      </w:r>
      <w:r>
        <w:rPr>
          <w:rFonts w:hint="eastAsia" w:ascii="仿宋_GB2312" w:hAnsi="仿宋_GB2312" w:eastAsia="仿宋_GB2312" w:cs="仿宋_GB2312"/>
          <w:kern w:val="0"/>
          <w:sz w:val="32"/>
          <w:szCs w:val="32"/>
        </w:rPr>
        <w:t>紧紧围绕铸牢中华民族共同体意识这条工作主线，推动各项工作取得新成效。</w:t>
      </w:r>
      <w:r>
        <w:rPr>
          <w:rFonts w:hint="eastAsia" w:ascii="仿宋_GB2312" w:hAnsi="仿宋_GB2312" w:eastAsia="仿宋_GB2312" w:cs="仿宋_GB2312"/>
          <w:b/>
          <w:bCs/>
          <w:kern w:val="0"/>
          <w:sz w:val="32"/>
          <w:szCs w:val="32"/>
        </w:rPr>
        <w:t>一是统筹推进依法治市工作。</w:t>
      </w:r>
      <w:r>
        <w:rPr>
          <w:rFonts w:hint="eastAsia" w:ascii="仿宋_GB2312" w:hAnsi="仿宋_GB2312" w:eastAsia="仿宋_GB2312" w:cs="仿宋_GB2312"/>
          <w:kern w:val="0"/>
          <w:sz w:val="32"/>
          <w:szCs w:val="32"/>
        </w:rPr>
        <w:t>充分发挥市委依法治市办职能，制定年度工作要点，组织开展法治建设督察，实现党政主要负责人述法评议全覆盖。对4个旗县区和4个市直部门实地开展法治建设督察，组织开展“依法行政 法治体检”回头看，确保问题全面整改不反弹。推进法治人才库与督察人才库一体化建设，发挥专家智库作用，提升工作质效。高标准完成中央依法治国办法治督察迎检，我市行政复议工作得到上级督察组高度肯定。</w:t>
      </w:r>
      <w:r>
        <w:rPr>
          <w:rFonts w:hint="eastAsia" w:ascii="仿宋_GB2312" w:hAnsi="仿宋_GB2312" w:eastAsia="仿宋_GB2312" w:cs="仿宋_GB2312"/>
          <w:b/>
          <w:bCs/>
          <w:kern w:val="0"/>
          <w:sz w:val="32"/>
          <w:szCs w:val="32"/>
        </w:rPr>
        <w:t>二是深化依法行政。</w:t>
      </w:r>
      <w:r>
        <w:rPr>
          <w:rFonts w:hint="eastAsia" w:ascii="仿宋_GB2312" w:hAnsi="仿宋_GB2312" w:eastAsia="仿宋_GB2312" w:cs="仿宋_GB2312"/>
          <w:kern w:val="0"/>
          <w:sz w:val="32"/>
          <w:szCs w:val="32"/>
        </w:rPr>
        <w:t>强化行政决策合法性审查，全年审查文件120件。深化行政执法监督，全面推行“综合查一次”，评查案卷150卷，推广“扫码入企”系统，深入开展规范涉企行政执法专项行动，推动整改问题线索90个，为群众挽回经济损失278.2万元，执法行为持续规范。充分发挥行政复议主渠道作用，行政复议收案数高于一审行政诉讼88%，调解和解率20.64%，案结事了率85.53%，行政机关负责人出庭应诉率保持100%。市司法局行政复议一科被表彰为全国行政复议行政应诉工作表现突出的集体。</w:t>
      </w:r>
      <w:r>
        <w:rPr>
          <w:rFonts w:hint="eastAsia" w:ascii="仿宋_GB2312" w:hAnsi="仿宋_GB2312" w:eastAsia="仿宋_GB2312" w:cs="仿宋_GB2312"/>
          <w:b/>
          <w:bCs/>
          <w:kern w:val="0"/>
          <w:sz w:val="32"/>
          <w:szCs w:val="32"/>
        </w:rPr>
        <w:t>三是优化公共法律服务。</w:t>
      </w:r>
      <w:r>
        <w:rPr>
          <w:rFonts w:hint="eastAsia" w:ascii="仿宋_GB2312" w:hAnsi="仿宋_GB2312" w:eastAsia="仿宋_GB2312" w:cs="仿宋_GB2312"/>
          <w:kern w:val="0"/>
          <w:sz w:val="32"/>
          <w:szCs w:val="32"/>
        </w:rPr>
        <w:t>推动实体、热线、网络平台深度融合，四级公共法律服务体系高效运转，全年办理各类服务案件3.5万余件。加大法律服务行业监管力度，开展律师事务所统一收案统一收费专项检查和规范律师网络言论行为专项行动。着力提升法律援助质效，2025年通过法律援助帮助农民工追回欠薪1300余万元。市法律援助中心被评为全国“敬老文明号”和自治区“三八文明岗”。</w:t>
      </w:r>
      <w:r>
        <w:rPr>
          <w:rFonts w:hint="eastAsia" w:ascii="仿宋_GB2312" w:hAnsi="仿宋_GB2312" w:eastAsia="仿宋_GB2312" w:cs="仿宋_GB2312"/>
          <w:b/>
          <w:bCs/>
          <w:kern w:val="0"/>
          <w:sz w:val="32"/>
          <w:szCs w:val="32"/>
        </w:rPr>
        <w:t>四是打造精准普法品牌。</w:t>
      </w:r>
      <w:r>
        <w:rPr>
          <w:rFonts w:hint="eastAsia" w:ascii="仿宋_GB2312" w:hAnsi="仿宋_GB2312" w:eastAsia="仿宋_GB2312" w:cs="仿宋_GB2312"/>
          <w:kern w:val="0"/>
          <w:sz w:val="32"/>
          <w:szCs w:val="32"/>
        </w:rPr>
        <w:t>扎实推进“八五”普法规划，建立“每月一主题”普法机制，统筹协调70余个部门开展“菜单式”普法。推动普法与执法、服务、管理“三融合”。开展“筑牢祖国北疆安全稳定屏障——北疆普法万里行”“预防毁林毁草”“法治文化基层行”等系列活动。培育“法律明白人”12150人，在全国“八五”普法中期表彰中，我市3个单位、2名个人上榜。</w:t>
      </w:r>
    </w:p>
    <w:p>
      <w:pPr>
        <w:spacing w:line="560" w:lineRule="exact"/>
        <w:ind w:firstLine="640" w:firstLineChars="200"/>
        <w:rPr>
          <w:rFonts w:ascii="仿宋_GB2312" w:hAnsi="仿宋_GB2312" w:eastAsia="仿宋_GB2312" w:cs="仿宋_GB2312"/>
          <w:kern w:val="0"/>
          <w:sz w:val="32"/>
          <w:szCs w:val="32"/>
        </w:rPr>
      </w:pPr>
      <w:r>
        <w:rPr>
          <w:rFonts w:hint="eastAsia" w:ascii="楷体" w:hAnsi="楷体" w:eastAsia="楷体" w:cs="楷体"/>
          <w:sz w:val="32"/>
          <w:szCs w:val="32"/>
        </w:rPr>
        <w:t>（二）其他工作完成情况。</w:t>
      </w:r>
      <w:r>
        <w:rPr>
          <w:rFonts w:hint="eastAsia" w:ascii="仿宋_GB2312" w:hAnsi="仿宋_GB2312" w:eastAsia="仿宋_GB2312" w:cs="仿宋_GB2312"/>
          <w:b/>
          <w:bCs/>
          <w:kern w:val="0"/>
          <w:sz w:val="32"/>
          <w:szCs w:val="32"/>
        </w:rPr>
        <w:t>一是服务保障中心工作。</w:t>
      </w:r>
      <w:r>
        <w:rPr>
          <w:rFonts w:hint="eastAsia" w:ascii="仿宋_GB2312" w:hAnsi="仿宋_GB2312" w:eastAsia="仿宋_GB2312" w:cs="仿宋_GB2312"/>
          <w:kern w:val="0"/>
          <w:sz w:val="32"/>
          <w:szCs w:val="32"/>
        </w:rPr>
        <w:t>聚焦我市“十大行动”制定25条法治保障举措。持续实施诚信建设工程，明确31项任务，62条具体落实措施，编制《诚信建设白皮书》，一体化展现诚信建设取得的成效。</w:t>
      </w:r>
      <w:r>
        <w:rPr>
          <w:rFonts w:hint="eastAsia" w:ascii="仿宋_GB2312" w:hAnsi="仿宋_GB2312" w:eastAsia="仿宋_GB2312" w:cs="仿宋_GB2312"/>
          <w:b/>
          <w:bCs/>
          <w:kern w:val="0"/>
          <w:sz w:val="32"/>
          <w:szCs w:val="32"/>
        </w:rPr>
        <w:t>二是持续优化法治化营商环境建设。</w:t>
      </w:r>
      <w:r>
        <w:rPr>
          <w:rFonts w:hint="eastAsia" w:ascii="仿宋_GB2312" w:hAnsi="仿宋_GB2312" w:eastAsia="仿宋_GB2312" w:cs="仿宋_GB2312"/>
          <w:kern w:val="0"/>
          <w:sz w:val="32"/>
          <w:szCs w:val="32"/>
        </w:rPr>
        <w:t>围绕服务经济社会高质量发展，持续组织开展“万名律师进乡村”“法治体检”和“民法典宣传月”等公益活动，2025年全市律师共举办各类公益法律服务活动287场，走访民营企业近300家，为企业提供专业化“法治体检”300余次，以实际行动践行律师执业为民的职责使命。</w:t>
      </w:r>
      <w:r>
        <w:rPr>
          <w:rFonts w:hint="eastAsia" w:ascii="仿宋_GB2312" w:hAnsi="仿宋_GB2312" w:eastAsia="仿宋_GB2312" w:cs="仿宋_GB2312"/>
          <w:b/>
          <w:bCs/>
          <w:kern w:val="0"/>
          <w:sz w:val="32"/>
          <w:szCs w:val="32"/>
        </w:rPr>
        <w:t>三是持续推进平安建设。</w:t>
      </w:r>
      <w:r>
        <w:rPr>
          <w:rFonts w:hint="eastAsia" w:ascii="仿宋_GB2312" w:hAnsi="仿宋_GB2312" w:eastAsia="仿宋_GB2312" w:cs="仿宋_GB2312"/>
          <w:kern w:val="0"/>
          <w:sz w:val="32"/>
          <w:szCs w:val="32"/>
        </w:rPr>
        <w:t>坚持发展新时代“枫桥经验”，健全多元调解网络，全年调解纠纷1.8万余件，成功率99.4%。加强特殊人群管理，建立“黄丝带”帮教基地，配套完善《赤峰市司法局社区矫正工作突发事件应急处置预案》，对</w:t>
      </w:r>
      <w:r>
        <w:rPr>
          <w:rFonts w:ascii="仿宋_GB2312" w:hAnsi="仿宋_GB2312" w:eastAsia="仿宋_GB2312" w:cs="仿宋_GB2312"/>
          <w:kern w:val="0"/>
          <w:sz w:val="32"/>
          <w:szCs w:val="32"/>
        </w:rPr>
        <w:t>全市</w:t>
      </w:r>
      <w:r>
        <w:rPr>
          <w:rFonts w:hint="eastAsia" w:ascii="仿宋_GB2312" w:hAnsi="仿宋_GB2312" w:eastAsia="仿宋_GB2312" w:cs="仿宋_GB2312"/>
          <w:kern w:val="0"/>
          <w:sz w:val="32"/>
          <w:szCs w:val="32"/>
        </w:rPr>
        <w:t>10200名安置帮教对象建立动态台账，实施常态化跟踪排查，社区矫正和安置帮教工作质效持续提升。</w:t>
      </w:r>
    </w:p>
    <w:p>
      <w:pPr>
        <w:pStyle w:val="5"/>
        <w:keepNext w:val="0"/>
        <w:keepLines w:val="0"/>
        <w:widowControl/>
        <w:spacing w:before="0" w:after="0" w:line="580" w:lineRule="exact"/>
        <w:jc w:val="center"/>
        <w:rPr>
          <w:rFonts w:ascii="方正小标宋简体" w:hAnsi="方正小标宋简体" w:eastAsia="方正小标宋简体" w:cs="方正小标宋简体"/>
          <w:b w:val="0"/>
          <w:bCs w:val="0"/>
          <w:kern w:val="0"/>
          <w:sz w:val="36"/>
          <w:szCs w:val="36"/>
        </w:rPr>
      </w:pPr>
      <w:r>
        <w:rPr>
          <w:rFonts w:hint="eastAsia" w:ascii="方正小标宋简体" w:hAnsi="方正小标宋简体" w:eastAsia="方正小标宋简体" w:cs="方正小标宋简体"/>
          <w:b w:val="0"/>
          <w:bCs w:val="0"/>
          <w:kern w:val="0"/>
          <w:sz w:val="36"/>
          <w:szCs w:val="36"/>
        </w:rPr>
        <w:t>第二部分  单位决算情况说明</w:t>
      </w:r>
    </w:p>
    <w:p/>
    <w:p>
      <w:pPr>
        <w:widowControl/>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一、收入支出决算总体情况说明</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赤峰市司法局（本级）202</w:t>
      </w: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年度收入、支出决算总计</w:t>
      </w:r>
      <w:r>
        <w:rPr>
          <w:rFonts w:ascii="仿宋_GB2312" w:hAnsi="仿宋_GB2312" w:eastAsia="仿宋_GB2312" w:cs="仿宋_GB2312"/>
          <w:kern w:val="0"/>
          <w:sz w:val="32"/>
          <w:szCs w:val="32"/>
        </w:rPr>
        <w:t>2009.47万元。与年初预算相比，收、支总计各减少217.37万元，下降9.76%</w:t>
      </w:r>
      <w:r>
        <w:rPr>
          <w:rFonts w:hint="eastAsia" w:ascii="仿宋_GB2312" w:hAnsi="仿宋_GB2312" w:eastAsia="仿宋_GB2312" w:cs="仿宋_GB2312"/>
          <w:kern w:val="0"/>
          <w:sz w:val="32"/>
          <w:szCs w:val="32"/>
        </w:rPr>
        <w:t>，变动原因主要为：一是严格落实“过紧日子”相关工作要求，通过压缩“三公”经费，节约用水用电</w:t>
      </w:r>
      <w:r>
        <w:rPr>
          <w:rFonts w:ascii="仿宋_GB2312" w:hAnsi="仿宋_GB2312" w:eastAsia="仿宋_GB2312" w:cs="仿宋_GB2312"/>
          <w:kern w:val="0"/>
          <w:sz w:val="32"/>
          <w:szCs w:val="32"/>
        </w:rPr>
        <w:t>及</w:t>
      </w:r>
      <w:r>
        <w:rPr>
          <w:rFonts w:hint="eastAsia" w:ascii="仿宋_GB2312" w:hAnsi="仿宋_GB2312" w:eastAsia="仿宋_GB2312" w:cs="仿宋_GB2312"/>
          <w:kern w:val="0"/>
          <w:sz w:val="32"/>
          <w:szCs w:val="32"/>
        </w:rPr>
        <w:t>办公用品</w:t>
      </w:r>
      <w:r>
        <w:rPr>
          <w:rFonts w:hint="eastAsia" w:ascii="仿宋_GB2312" w:hAnsi="仿宋_GB2312" w:eastAsia="仿宋_GB2312" w:cs="仿宋_GB2312"/>
          <w:kern w:val="0"/>
          <w:sz w:val="32"/>
          <w:szCs w:val="32"/>
          <w:lang w:eastAsia="zh-CN"/>
        </w:rPr>
        <w:t>等支出</w:t>
      </w:r>
      <w:r>
        <w:rPr>
          <w:rFonts w:hint="eastAsia" w:ascii="仿宋_GB2312" w:hAnsi="仿宋_GB2312" w:eastAsia="仿宋_GB2312" w:cs="仿宋_GB2312"/>
          <w:kern w:val="0"/>
          <w:sz w:val="32"/>
          <w:szCs w:val="32"/>
        </w:rPr>
        <w:t>，使机关运行经费等基本支出有所减少；二是由于政府购买法律服务等项目支出尚未到合同约定支付期限，尚未完成支付，导致项目支出较年初预算有所减少。与上年决算相比，收、支总计各减少64.25万元，下降3.10%。其中：</w:t>
      </w:r>
    </w:p>
    <w:p>
      <w:pPr>
        <w:widowControl/>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（一）收入决算总计2009.47万元。包括：</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1.本年收入决算合计1957.26万元。与上年决算相比，减少62.59万元，下降3.10%，变动原因：一是</w:t>
      </w:r>
      <w:r>
        <w:rPr>
          <w:rFonts w:hint="eastAsia" w:ascii="仿宋_GB2312" w:hAnsi="仿宋_GB2312" w:eastAsia="仿宋_GB2312" w:cs="仿宋_GB2312"/>
          <w:kern w:val="0"/>
          <w:sz w:val="32"/>
          <w:szCs w:val="32"/>
          <w:lang w:eastAsia="zh-CN"/>
        </w:rPr>
        <w:t>本部门本年度</w:t>
      </w:r>
      <w:r>
        <w:rPr>
          <w:rFonts w:hint="eastAsia" w:ascii="仿宋_GB2312" w:hAnsi="仿宋_GB2312" w:eastAsia="仿宋_GB2312" w:cs="仿宋_GB2312"/>
          <w:kern w:val="0"/>
          <w:sz w:val="32"/>
          <w:szCs w:val="32"/>
        </w:rPr>
        <w:t>严格落实“过紧日子”相关工作要求，通过压缩“三公”经费，节约用水用电</w:t>
      </w:r>
      <w:r>
        <w:rPr>
          <w:rFonts w:ascii="仿宋_GB2312" w:hAnsi="仿宋_GB2312" w:eastAsia="仿宋_GB2312" w:cs="仿宋_GB2312"/>
          <w:kern w:val="0"/>
          <w:sz w:val="32"/>
          <w:szCs w:val="32"/>
        </w:rPr>
        <w:t>及</w:t>
      </w:r>
      <w:r>
        <w:rPr>
          <w:rFonts w:hint="eastAsia" w:ascii="仿宋_GB2312" w:hAnsi="仿宋_GB2312" w:eastAsia="仿宋_GB2312" w:cs="仿宋_GB2312"/>
          <w:kern w:val="0"/>
          <w:sz w:val="32"/>
          <w:szCs w:val="32"/>
        </w:rPr>
        <w:t>办公用品</w:t>
      </w:r>
      <w:r>
        <w:rPr>
          <w:rFonts w:hint="eastAsia" w:ascii="仿宋_GB2312" w:hAnsi="仿宋_GB2312" w:eastAsia="仿宋_GB2312" w:cs="仿宋_GB2312"/>
          <w:kern w:val="0"/>
          <w:sz w:val="32"/>
          <w:szCs w:val="32"/>
          <w:lang w:eastAsia="zh-CN"/>
        </w:rPr>
        <w:t>等支出</w:t>
      </w:r>
      <w:r>
        <w:rPr>
          <w:rFonts w:hint="eastAsia" w:ascii="仿宋_GB2312" w:hAnsi="仿宋_GB2312" w:eastAsia="仿宋_GB2312" w:cs="仿宋_GB2312"/>
          <w:kern w:val="0"/>
          <w:sz w:val="32"/>
          <w:szCs w:val="32"/>
        </w:rPr>
        <w:t>，使机关运行经费等基本支出较上年有所减少；二是</w:t>
      </w:r>
      <w:r>
        <w:rPr>
          <w:rFonts w:hint="eastAsia" w:ascii="仿宋_GB2312" w:hAnsi="仿宋_GB2312" w:eastAsia="仿宋_GB2312" w:cs="仿宋_GB2312"/>
          <w:kern w:val="0"/>
          <w:sz w:val="32"/>
          <w:szCs w:val="32"/>
          <w:lang w:eastAsia="zh-CN"/>
        </w:rPr>
        <w:t>赤峰市司法局本级本年</w:t>
      </w:r>
      <w:r>
        <w:rPr>
          <w:rFonts w:hint="eastAsia" w:ascii="仿宋_GB2312" w:hAnsi="仿宋_GB2312" w:eastAsia="仿宋_GB2312" w:cs="仿宋_GB2312"/>
          <w:kern w:val="0"/>
          <w:sz w:val="32"/>
          <w:szCs w:val="32"/>
        </w:rPr>
        <w:t>由于政府购买法律服务等项目支出尚未到合同约定支付期限，尚未完成支付，导致项目支出较上年有所减少。</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2.使用非财政拨款结余和专用结余 0.00万元。与上年决算相比，增加 0.00万元，增长0%。</w:t>
      </w:r>
    </w:p>
    <w:p>
      <w:pPr>
        <w:widowControl/>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3.年初结转和结余</w:t>
      </w:r>
      <w:r>
        <w:rPr>
          <w:rFonts w:ascii="仿宋_GB2312" w:hAnsi="仿宋_GB2312" w:eastAsia="仿宋_GB2312" w:cs="仿宋_GB2312"/>
          <w:kern w:val="0"/>
          <w:sz w:val="32"/>
          <w:szCs w:val="32"/>
        </w:rPr>
        <w:t>52.21</w:t>
      </w:r>
      <w:r>
        <w:rPr>
          <w:rFonts w:hint="eastAsia" w:ascii="仿宋_GB2312" w:hAnsi="仿宋_GB2312" w:eastAsia="仿宋_GB2312" w:cs="仿宋_GB2312"/>
          <w:kern w:val="0"/>
          <w:sz w:val="32"/>
          <w:szCs w:val="32"/>
        </w:rPr>
        <w:t>万元。与上年决算相比，减少</w:t>
      </w:r>
      <w:r>
        <w:rPr>
          <w:rFonts w:ascii="仿宋_GB2312" w:hAnsi="仿宋_GB2312" w:eastAsia="仿宋_GB2312" w:cs="仿宋_GB2312"/>
          <w:kern w:val="0"/>
          <w:sz w:val="32"/>
          <w:szCs w:val="32"/>
        </w:rPr>
        <w:t>1.66</w:t>
      </w:r>
      <w:r>
        <w:rPr>
          <w:rFonts w:hint="eastAsia" w:ascii="仿宋_GB2312" w:hAnsi="仿宋_GB2312" w:eastAsia="仿宋_GB2312" w:cs="仿宋_GB2312"/>
          <w:kern w:val="0"/>
          <w:sz w:val="32"/>
          <w:szCs w:val="32"/>
        </w:rPr>
        <w:t>万元，</w:t>
      </w:r>
      <w:r>
        <w:rPr>
          <w:rFonts w:ascii="仿宋_GB2312" w:hAnsi="仿宋_GB2312" w:eastAsia="仿宋_GB2312" w:cs="仿宋_GB2312"/>
          <w:kern w:val="0"/>
          <w:sz w:val="32"/>
          <w:szCs w:val="32"/>
        </w:rPr>
        <w:t>下降3.07</w:t>
      </w:r>
      <w:r>
        <w:rPr>
          <w:rFonts w:hint="eastAsia" w:ascii="仿宋_GB2312" w:hAnsi="仿宋_GB2312" w:eastAsia="仿宋_GB2312" w:cs="仿宋_GB2312"/>
          <w:kern w:val="0"/>
          <w:sz w:val="32"/>
          <w:szCs w:val="32"/>
        </w:rPr>
        <w:t>%，变动原因：上年增加了创建模范机关、党建经费支出。</w:t>
      </w:r>
    </w:p>
    <w:p>
      <w:pPr>
        <w:widowControl/>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（二）支出决算总计2009.47万元。包括：</w:t>
      </w:r>
    </w:p>
    <w:p>
      <w:pPr>
        <w:widowControl/>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1.本年支出决算合计1940.54万元。与上年决算相比，减少80.97万元，减少4%，变动原因：一是严格落实“过紧日子”相关工作要求，通过压缩“三公”经费，节约用水用电办公用品</w:t>
      </w:r>
      <w:r>
        <w:rPr>
          <w:rFonts w:hint="default" w:ascii="仿宋_GB2312" w:hAnsi="仿宋_GB2312" w:eastAsia="仿宋_GB2312" w:cs="仿宋_GB2312"/>
          <w:kern w:val="0"/>
          <w:sz w:val="32"/>
          <w:szCs w:val="32"/>
          <w:lang w:val="en"/>
        </w:rPr>
        <w:t>等支出</w:t>
      </w:r>
      <w:r>
        <w:rPr>
          <w:rFonts w:hint="eastAsia" w:ascii="仿宋_GB2312" w:hAnsi="仿宋_GB2312" w:eastAsia="仿宋_GB2312" w:cs="仿宋_GB2312"/>
          <w:kern w:val="0"/>
          <w:sz w:val="32"/>
          <w:szCs w:val="32"/>
        </w:rPr>
        <w:t>，使机关运行经费等基本支出较上年有所减少；二是本年减少了破产费用专项资金、司法局办公楼维修改造等项目支出；三是本年减少了创建模范机关党建经费及律师行业党委培训费支出，导致项目支出较上年有所减少。</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2.结余分配0.00万元。结余分配事项：无。与上年决算相比，增加 0.00万元，增长0%。</w:t>
      </w:r>
    </w:p>
    <w:p>
      <w:pPr>
        <w:widowControl/>
        <w:spacing w:line="580" w:lineRule="exact"/>
        <w:ind w:firstLine="640" w:firstLineChars="200"/>
        <w:rPr>
          <w:rFonts w:ascii="黑体" w:hAnsi="黑体" w:eastAsia="黑体" w:cs="黑体"/>
          <w:kern w:val="0"/>
          <w:sz w:val="32"/>
          <w:szCs w:val="32"/>
        </w:rPr>
      </w:pPr>
      <w:r>
        <w:rPr>
          <w:rFonts w:hint="eastAsia" w:ascii="仿宋_GB2312" w:hAnsi="仿宋_GB2312" w:eastAsia="仿宋_GB2312" w:cs="仿宋_GB2312"/>
          <w:kern w:val="0"/>
          <w:sz w:val="32"/>
          <w:szCs w:val="32"/>
        </w:rPr>
        <w:t>3.年末结转和结余68.93万元。结转和结余事项：该结转结余构成为国家统一法律职业资格考试考试费、党建经费。与上年决算相比，增加16.72万元，增长32.02%，变动原因：本年较上年增加非公党组织建设补助资金及基层党建工作奖补资金。</w:t>
      </w:r>
    </w:p>
    <w:p>
      <w:pPr>
        <w:widowControl/>
        <w:spacing w:line="580" w:lineRule="exact"/>
        <w:ind w:firstLine="640" w:firstLineChars="200"/>
        <w:rPr>
          <w:rFonts w:eastAsia="Times New Roman"/>
          <w:kern w:val="0"/>
          <w:sz w:val="24"/>
        </w:rPr>
      </w:pPr>
      <w:r>
        <w:rPr>
          <w:rFonts w:hint="eastAsia" w:ascii="黑体" w:hAnsi="黑体" w:eastAsia="黑体" w:cs="黑体"/>
          <w:kern w:val="0"/>
          <w:sz w:val="32"/>
          <w:szCs w:val="32"/>
        </w:rPr>
        <w:t>二、收入决算情况说明</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 2025年度本年收入决算合计1957.26万元，其中：</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本年一般公共预算财政拨款收入1879.59万元，占96.03%；</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本年政府性基金预算财政拨款收入0.00万元，占0.00%；</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本年国有资本经营预算财政拨款收入0.00万元，占0.00%；</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本年上级补助收入0.00万元，占0.00%；</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本年事业收入0.00万元，占0.00%；</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本年经营收入0.00万元，占0.00%；</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本年附属单位上缴收入0.00万元，占0.00%；</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本年其他收入77.67万元，占3.97%。</w:t>
      </w:r>
    </w:p>
    <w:p>
      <w:pPr>
        <w:pStyle w:val="2"/>
        <w:ind w:left="0" w:leftChars="0" w:firstLine="0" w:firstLineChars="0"/>
        <w:rPr>
          <w:rFonts w:hint="default" w:ascii="仿宋_GB2312" w:hAnsi="仿宋_GB2312" w:eastAsia="仿宋_GB2312" w:cs="仿宋_GB2312"/>
          <w:kern w:val="0"/>
          <w:sz w:val="32"/>
          <w:szCs w:val="32"/>
        </w:rPr>
      </w:pPr>
    </w:p>
    <w:p>
      <w:pPr>
        <w:widowControl/>
        <w:spacing w:before="240" w:after="240" w:line="580" w:lineRule="exact"/>
        <w:ind w:firstLine="405"/>
        <w:jc w:val="center"/>
        <w:rPr>
          <w:rFonts w:eastAsia="Times New Roman"/>
          <w:kern w:val="0"/>
          <w:sz w:val="24"/>
        </w:rPr>
      </w:pPr>
      <w:r>
        <w:rPr>
          <w:rFonts w:hint="eastAsia" w:ascii="fang_song_gb2312" w:hAnsi="fang_song_gb2312" w:eastAsia="fang_song_gb2312" w:cs="fang_song_gb2312"/>
          <w:kern w:val="0"/>
          <w:sz w:val="27"/>
          <w:szCs w:val="27"/>
        </w:rPr>
        <w:drawing>
          <wp:anchor distT="0" distB="0" distL="114300" distR="114300" simplePos="0" relativeHeight="251658240" behindDoc="0" locked="0" layoutInCell="1" allowOverlap="1">
            <wp:simplePos x="0" y="0"/>
            <wp:positionH relativeFrom="column">
              <wp:posOffset>382270</wp:posOffset>
            </wp:positionH>
            <wp:positionV relativeFrom="paragraph">
              <wp:posOffset>304165</wp:posOffset>
            </wp:positionV>
            <wp:extent cx="5080000" cy="3371850"/>
            <wp:effectExtent l="4445" t="4445" r="20955" b="1460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widowControl/>
        <w:spacing w:line="580" w:lineRule="exact"/>
        <w:jc w:val="center"/>
        <w:rPr>
          <w:rFonts w:ascii="仿宋_GB2312" w:hAnsi="仿宋_GB2312" w:eastAsia="仿宋_GB2312" w:cs="仿宋_GB2312"/>
          <w:kern w:val="0"/>
          <w:sz w:val="32"/>
          <w:szCs w:val="32"/>
        </w:rPr>
      </w:pPr>
    </w:p>
    <w:p>
      <w:pPr>
        <w:widowControl/>
        <w:spacing w:line="580" w:lineRule="exact"/>
        <w:jc w:val="center"/>
        <w:rPr>
          <w:rFonts w:ascii="仿宋_GB2312" w:hAnsi="仿宋_GB2312" w:eastAsia="仿宋_GB2312" w:cs="仿宋_GB2312"/>
          <w:kern w:val="0"/>
          <w:sz w:val="32"/>
          <w:szCs w:val="32"/>
        </w:rPr>
      </w:pPr>
    </w:p>
    <w:p>
      <w:pPr>
        <w:widowControl/>
        <w:spacing w:line="580" w:lineRule="exact"/>
        <w:jc w:val="center"/>
        <w:rPr>
          <w:rFonts w:ascii="仿宋_GB2312" w:hAnsi="仿宋_GB2312" w:eastAsia="仿宋_GB2312" w:cs="仿宋_GB2312"/>
          <w:kern w:val="0"/>
          <w:sz w:val="32"/>
          <w:szCs w:val="32"/>
        </w:rPr>
      </w:pPr>
    </w:p>
    <w:p>
      <w:pPr>
        <w:widowControl/>
        <w:spacing w:line="580" w:lineRule="exact"/>
        <w:jc w:val="center"/>
        <w:rPr>
          <w:rFonts w:ascii="仿宋_GB2312" w:hAnsi="仿宋_GB2312" w:eastAsia="仿宋_GB2312" w:cs="仿宋_GB2312"/>
          <w:kern w:val="0"/>
          <w:sz w:val="32"/>
          <w:szCs w:val="32"/>
        </w:rPr>
      </w:pPr>
    </w:p>
    <w:p>
      <w:pPr>
        <w:widowControl/>
        <w:spacing w:line="580" w:lineRule="exact"/>
        <w:jc w:val="center"/>
        <w:rPr>
          <w:rFonts w:ascii="仿宋_GB2312" w:hAnsi="仿宋_GB2312" w:eastAsia="仿宋_GB2312" w:cs="仿宋_GB2312"/>
          <w:kern w:val="0"/>
          <w:sz w:val="32"/>
          <w:szCs w:val="32"/>
        </w:rPr>
      </w:pPr>
    </w:p>
    <w:p>
      <w:pPr>
        <w:widowControl/>
        <w:spacing w:line="580" w:lineRule="exact"/>
        <w:jc w:val="center"/>
        <w:rPr>
          <w:rFonts w:ascii="仿宋_GB2312" w:hAnsi="仿宋_GB2312" w:eastAsia="仿宋_GB2312" w:cs="仿宋_GB2312"/>
          <w:kern w:val="0"/>
          <w:sz w:val="32"/>
          <w:szCs w:val="32"/>
        </w:rPr>
      </w:pPr>
    </w:p>
    <w:p>
      <w:pPr>
        <w:widowControl/>
        <w:spacing w:line="580" w:lineRule="exact"/>
        <w:jc w:val="center"/>
        <w:rPr>
          <w:rFonts w:ascii="仿宋_GB2312" w:hAnsi="仿宋_GB2312" w:eastAsia="仿宋_GB2312" w:cs="仿宋_GB2312"/>
          <w:kern w:val="0"/>
          <w:sz w:val="32"/>
          <w:szCs w:val="32"/>
        </w:rPr>
      </w:pPr>
    </w:p>
    <w:p>
      <w:pPr>
        <w:widowControl/>
        <w:spacing w:line="580" w:lineRule="exact"/>
        <w:jc w:val="center"/>
        <w:rPr>
          <w:rFonts w:ascii="仿宋_GB2312" w:hAnsi="仿宋_GB2312" w:eastAsia="仿宋_GB2312" w:cs="仿宋_GB2312"/>
          <w:kern w:val="0"/>
          <w:sz w:val="32"/>
          <w:szCs w:val="32"/>
        </w:rPr>
      </w:pPr>
    </w:p>
    <w:p>
      <w:pPr>
        <w:widowControl/>
        <w:spacing w:line="580" w:lineRule="exact"/>
        <w:jc w:val="center"/>
        <w:rPr>
          <w:rFonts w:ascii="仿宋_GB2312" w:hAnsi="仿宋_GB2312" w:eastAsia="仿宋_GB2312" w:cs="仿宋_GB2312"/>
          <w:kern w:val="0"/>
          <w:sz w:val="32"/>
          <w:szCs w:val="32"/>
        </w:rPr>
      </w:pPr>
    </w:p>
    <w:p>
      <w:pPr>
        <w:widowControl/>
        <w:spacing w:line="580"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图1.收入决算图</w:t>
      </w:r>
    </w:p>
    <w:p>
      <w:pPr>
        <w:widowControl/>
        <w:spacing w:line="580" w:lineRule="exact"/>
        <w:rPr>
          <w:rFonts w:ascii="黑体" w:hAnsi="黑体" w:eastAsia="黑体" w:cs="黑体"/>
          <w:kern w:val="0"/>
          <w:sz w:val="32"/>
          <w:szCs w:val="32"/>
        </w:rPr>
      </w:pPr>
    </w:p>
    <w:p>
      <w:pPr>
        <w:widowControl/>
        <w:spacing w:line="580" w:lineRule="exact"/>
        <w:ind w:firstLine="640" w:firstLineChars="200"/>
        <w:rPr>
          <w:rFonts w:hint="eastAsia" w:ascii="黑体" w:hAnsi="黑体" w:eastAsia="黑体" w:cs="黑体"/>
          <w:kern w:val="0"/>
          <w:sz w:val="32"/>
          <w:szCs w:val="32"/>
        </w:rPr>
      </w:pPr>
    </w:p>
    <w:p>
      <w:pPr>
        <w:widowControl/>
        <w:spacing w:line="580" w:lineRule="exact"/>
        <w:ind w:firstLine="640" w:firstLineChars="200"/>
        <w:rPr>
          <w:rFonts w:hint="eastAsia" w:ascii="黑体" w:hAnsi="黑体" w:eastAsia="黑体" w:cs="黑体"/>
          <w:kern w:val="0"/>
          <w:sz w:val="32"/>
          <w:szCs w:val="32"/>
        </w:rPr>
      </w:pPr>
    </w:p>
    <w:p>
      <w:pPr>
        <w:widowControl/>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三、支出决算情况说明</w:t>
      </w:r>
    </w:p>
    <w:p>
      <w:pPr>
        <w:widowControl/>
        <w:spacing w:line="580" w:lineRule="exact"/>
        <w:ind w:firstLine="540" w:firstLineChars="200"/>
        <w:rPr>
          <w:rFonts w:ascii="仿宋_GB2312" w:hAnsi="仿宋_GB2312" w:eastAsia="仿宋_GB2312" w:cs="仿宋_GB2312"/>
          <w:kern w:val="0"/>
          <w:sz w:val="32"/>
          <w:szCs w:val="32"/>
        </w:rPr>
      </w:pPr>
      <w:r>
        <w:rPr>
          <w:rFonts w:ascii="fang_song_gb2312" w:hAnsi="fang_song_gb2312" w:eastAsia="fang_song_gb2312" w:cs="fang_song_gb2312"/>
          <w:kern w:val="0"/>
          <w:sz w:val="27"/>
          <w:szCs w:val="27"/>
        </w:rPr>
        <w:t> </w:t>
      </w:r>
      <w:r>
        <w:rPr>
          <w:rFonts w:hint="eastAsia" w:ascii="仿宋_GB2312" w:hAnsi="仿宋_GB2312" w:eastAsia="仿宋_GB2312" w:cs="仿宋_GB2312"/>
          <w:kern w:val="0"/>
          <w:sz w:val="32"/>
          <w:szCs w:val="32"/>
        </w:rPr>
        <w:t>赤峰市司法局（本级） 2025年度本年支出决算合计1940.54万元，其中：</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本年基本支出1,458.15万元，占75.14%；</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本年项目支出482.39万元，占24.86%；</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本年上缴上级支出 0.00万元，占 0.00%；</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本年经营支出 0.00万元，占 0.00%；</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本年对附属单位补助支出 0.00万元，占 0.00%。</w:t>
      </w:r>
    </w:p>
    <w:p>
      <w:pPr>
        <w:pStyle w:val="2"/>
        <w:rPr>
          <w:rFonts w:hint="default" w:ascii="仿宋_GB2312" w:hAnsi="仿宋_GB2312" w:eastAsia="仿宋_GB2312" w:cs="仿宋_GB2312"/>
          <w:kern w:val="0"/>
          <w:sz w:val="32"/>
          <w:szCs w:val="32"/>
        </w:rPr>
      </w:pPr>
    </w:p>
    <w:p>
      <w:pPr>
        <w:pStyle w:val="2"/>
        <w:rPr>
          <w:rFonts w:hint="default" w:ascii="仿宋_GB2312" w:hAnsi="仿宋_GB2312" w:eastAsia="仿宋_GB2312" w:cs="仿宋_GB2312"/>
          <w:kern w:val="0"/>
          <w:sz w:val="32"/>
          <w:szCs w:val="32"/>
        </w:rPr>
      </w:pPr>
      <w:r>
        <w:rPr>
          <w:rFonts w:ascii="Times New Roman" w:hAnsi="Times New Roman"/>
          <w:kern w:val="0"/>
        </w:rPr>
        <w:drawing>
          <wp:anchor distT="0" distB="0" distL="114300" distR="114300" simplePos="0" relativeHeight="251659264" behindDoc="0" locked="0" layoutInCell="1" allowOverlap="1">
            <wp:simplePos x="0" y="0"/>
            <wp:positionH relativeFrom="column">
              <wp:posOffset>234950</wp:posOffset>
            </wp:positionH>
            <wp:positionV relativeFrom="paragraph">
              <wp:posOffset>94615</wp:posOffset>
            </wp:positionV>
            <wp:extent cx="5080000" cy="3496310"/>
            <wp:effectExtent l="4445" t="4445" r="20955" b="2349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
        <w:rPr>
          <w:rFonts w:hint="default" w:ascii="仿宋_GB2312" w:hAnsi="仿宋_GB2312" w:eastAsia="仿宋_GB2312" w:cs="仿宋_GB2312"/>
          <w:kern w:val="0"/>
          <w:sz w:val="32"/>
          <w:szCs w:val="32"/>
        </w:rPr>
      </w:pPr>
    </w:p>
    <w:p>
      <w:pPr>
        <w:pStyle w:val="2"/>
        <w:rPr>
          <w:rFonts w:hint="default" w:ascii="仿宋_GB2312" w:hAnsi="仿宋_GB2312" w:eastAsia="仿宋_GB2312" w:cs="仿宋_GB2312"/>
          <w:kern w:val="0"/>
          <w:sz w:val="32"/>
          <w:szCs w:val="32"/>
        </w:rPr>
      </w:pPr>
    </w:p>
    <w:p>
      <w:pPr>
        <w:pStyle w:val="2"/>
        <w:rPr>
          <w:rFonts w:hint="default" w:ascii="仿宋_GB2312" w:hAnsi="仿宋_GB2312" w:eastAsia="仿宋_GB2312" w:cs="仿宋_GB2312"/>
          <w:kern w:val="0"/>
          <w:sz w:val="32"/>
          <w:szCs w:val="32"/>
        </w:rPr>
      </w:pPr>
    </w:p>
    <w:p>
      <w:pPr>
        <w:pStyle w:val="2"/>
        <w:rPr>
          <w:rFonts w:hint="default" w:ascii="仿宋_GB2312" w:hAnsi="仿宋_GB2312" w:eastAsia="仿宋_GB2312" w:cs="仿宋_GB2312"/>
          <w:kern w:val="0"/>
          <w:sz w:val="32"/>
          <w:szCs w:val="32"/>
        </w:rPr>
      </w:pPr>
    </w:p>
    <w:p>
      <w:pPr>
        <w:pStyle w:val="2"/>
        <w:rPr>
          <w:rFonts w:hint="default" w:ascii="仿宋_GB2312" w:hAnsi="仿宋_GB2312" w:eastAsia="仿宋_GB2312" w:cs="仿宋_GB2312"/>
          <w:kern w:val="0"/>
          <w:sz w:val="32"/>
          <w:szCs w:val="32"/>
        </w:rPr>
      </w:pPr>
    </w:p>
    <w:p>
      <w:pPr>
        <w:widowControl/>
        <w:spacing w:before="240" w:after="240" w:line="580" w:lineRule="exact"/>
        <w:jc w:val="center"/>
        <w:rPr>
          <w:kern w:val="0"/>
          <w:sz w:val="24"/>
        </w:rPr>
      </w:pPr>
    </w:p>
    <w:p>
      <w:pPr>
        <w:widowControl/>
        <w:spacing w:before="240" w:after="240" w:line="580" w:lineRule="exact"/>
        <w:jc w:val="center"/>
        <w:rPr>
          <w:kern w:val="0"/>
          <w:sz w:val="24"/>
        </w:rPr>
      </w:pPr>
    </w:p>
    <w:p>
      <w:pPr>
        <w:widowControl/>
        <w:spacing w:before="240" w:after="240" w:line="580"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图2.支出决算图</w:t>
      </w:r>
    </w:p>
    <w:p>
      <w:pPr>
        <w:pStyle w:val="2"/>
        <w:rPr>
          <w:rFonts w:hint="default"/>
        </w:rPr>
      </w:pPr>
    </w:p>
    <w:p>
      <w:pPr>
        <w:widowControl/>
        <w:spacing w:line="580" w:lineRule="exact"/>
        <w:ind w:firstLine="640" w:firstLineChars="200"/>
        <w:jc w:val="left"/>
        <w:rPr>
          <w:rFonts w:hint="eastAsia" w:ascii="黑体" w:hAnsi="黑体" w:eastAsia="黑体" w:cs="黑体"/>
          <w:kern w:val="0"/>
          <w:sz w:val="32"/>
          <w:szCs w:val="32"/>
        </w:rPr>
      </w:pPr>
    </w:p>
    <w:p>
      <w:pPr>
        <w:widowControl/>
        <w:spacing w:line="58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四、财政拨款收入支出决算总体情况说明</w:t>
      </w:r>
    </w:p>
    <w:p>
      <w:pPr>
        <w:widowControl/>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 2025年度财政拨款收入、支出决算总计1,879.59万元，与年初预算相比，收、支总计各减少347.25万元，减少15.59%，变动原因：一是严格落实“过紧日子”相关工作要求，通过压缩“三公”经费，节约用水用电办公用品</w:t>
      </w:r>
      <w:r>
        <w:rPr>
          <w:rFonts w:hint="default" w:ascii="仿宋_GB2312" w:hAnsi="仿宋_GB2312" w:eastAsia="仿宋_GB2312" w:cs="仿宋_GB2312"/>
          <w:kern w:val="0"/>
          <w:sz w:val="32"/>
          <w:szCs w:val="32"/>
          <w:lang w:val="en"/>
        </w:rPr>
        <w:t>等支出</w:t>
      </w:r>
      <w:r>
        <w:rPr>
          <w:rFonts w:hint="eastAsia" w:ascii="仿宋_GB2312" w:hAnsi="仿宋_GB2312" w:eastAsia="仿宋_GB2312" w:cs="仿宋_GB2312"/>
          <w:kern w:val="0"/>
          <w:sz w:val="32"/>
          <w:szCs w:val="32"/>
        </w:rPr>
        <w:t>，使机关运行经费等基本支出较年初预算有所减少；二是由于政府购买法律服务项目服务费支出因尚未到合同约定支付期限，尚未完成支付，法律顾问专项经费因未完成政府采购程序，当年未支付，导致项目支出较年初预算有所减少；三是政法专项资金部分项目本年尚未完成采购程序，当年未完成支付，导致专项资金支出较年初预算有所减少。与上年决算相比，收、支总计各减少74.83万元，减少3.83%，变动原因：一是严格落实“过紧日子”相关工作要求，通过压缩“三公”经费，节约用水用电办公用品</w:t>
      </w:r>
      <w:r>
        <w:rPr>
          <w:rFonts w:hint="default" w:ascii="仿宋_GB2312" w:hAnsi="仿宋_GB2312" w:eastAsia="仿宋_GB2312" w:cs="仿宋_GB2312"/>
          <w:kern w:val="0"/>
          <w:sz w:val="32"/>
          <w:szCs w:val="32"/>
          <w:lang w:val="en"/>
        </w:rPr>
        <w:t>等支出</w:t>
      </w:r>
      <w:r>
        <w:rPr>
          <w:rFonts w:hint="eastAsia" w:ascii="仿宋_GB2312" w:hAnsi="仿宋_GB2312" w:eastAsia="仿宋_GB2312" w:cs="仿宋_GB2312"/>
          <w:kern w:val="0"/>
          <w:sz w:val="32"/>
          <w:szCs w:val="32"/>
        </w:rPr>
        <w:t>，使机关运行经费等基本支出较上年有所减少；二是本年减少了破产费用专项资金、司法局办公楼维修改造等项目支出。</w:t>
      </w:r>
    </w:p>
    <w:p>
      <w:pPr>
        <w:widowControl/>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五、一般公共预算财政拨款支出决算情况说明</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 2025年度一般公共预算财政拨款支出决算1,879.59万元。与年初预算2226.84万元相比，完成年初预算的84.41%。其中：</w:t>
      </w:r>
    </w:p>
    <w:p>
      <w:pPr>
        <w:widowControl/>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（一）公共安全（类）</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公共安全类决算数为1,521.23万元，与年初预算相比减少370.83万元。其中：</w:t>
      </w:r>
    </w:p>
    <w:p>
      <w:pPr>
        <w:widowControl/>
        <w:numPr>
          <w:ilvl w:val="0"/>
          <w:numId w:val="3"/>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司法（款）行政运行（项）。年初预算1045.9万元，支出决算1089.18万元，完成年初预算的104.14%。决算数与年初预算数的差异原因主要为本年追加增资调资预算及追加发放未休假补贴预算，导致超出年初预算。</w:t>
      </w:r>
    </w:p>
    <w:p>
      <w:pPr>
        <w:widowControl/>
        <w:numPr>
          <w:ilvl w:val="0"/>
          <w:numId w:val="3"/>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司法（款）一般行政管理事务（项）。年初预算0万元，支出决算60.96万元。决算数与年初预算数的差异原因为：本年法律职业资格考试费、课题资助经费为其他收入资金支出，不纳入年初预算。</w:t>
      </w:r>
    </w:p>
    <w:p>
      <w:pPr>
        <w:widowControl/>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司法（款）基层司法业务（项）。年初预算69.89万元，支出决算32.53万元，完成年初预算的46.54%。决算数与年初预算数的差异原因：本年度人民调解案件和人民监督员履职评议情况尚未审核完成，故本年度未发放人民调解案件补贴和人民监督员履职评议费等相关费用。</w:t>
      </w:r>
    </w:p>
    <w:p>
      <w:pPr>
        <w:widowControl/>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司法（款）普法宣传（项）。年初预算87.62万元，支出决算18.6万元，完成年初预算的21.23%。决算数与年初预算数的差异原因：一是本年使用了上年结转普法宣传经费项目指标；二是部分普法等媒体宣传费尚未到合同约定付款期，故本年未完成支付。</w:t>
      </w:r>
    </w:p>
    <w:p>
      <w:pPr>
        <w:widowControl/>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司法（款）公共法律服务（项）。年初预算225.63万元，支出决算145.55万元，完成年初预算的64.51%。决算数与年初预算数的差异原因：一是本年支出上年结转政府购买法律服务项目服务费、公共法律服务工作经费项目指标；二是政府购买法律服务项目尚未到合同支付期，故本年未支付当年政府购买法律服务项目服务费。</w:t>
      </w:r>
    </w:p>
    <w:p>
      <w:pPr>
        <w:widowControl/>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司法（款）社区矫正（项）。年初预算20.6万元，支出决算3.72万元，完成年初预算的18.06%。决算数与年初预算数的差异原因：本年使用了上年结转社区矫正项目指标。</w:t>
      </w:r>
    </w:p>
    <w:p>
      <w:pPr>
        <w:widowControl/>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司法（款）法治建设（项）。年初预算47.96万元，支出决算38.41万元，完成年初预算的80.09%。决算数与年初预算数的差异原因：本年支出上年结转法治建设经费项目指标。</w:t>
      </w:r>
    </w:p>
    <w:p>
      <w:pPr>
        <w:widowControl/>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司法（款）信息化建设（项）。年初预算98.75万元，支出决算10.6万元，完成年初预算的10.73%。决算数与年初预算数的差异原因：一是部分信息化项目服务费本年未到合同期未支付完成；二是本年度使用上年度结转信息化建设经费指标支付服务费等。</w:t>
      </w:r>
    </w:p>
    <w:p>
      <w:pPr>
        <w:widowControl/>
        <w:numPr>
          <w:ilvl w:val="0"/>
          <w:numId w:val="3"/>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司法（款）事业运行（项）。年初预算8.96万元，支出决算10.61万元，完成年初预算的118.42%。决算数与年初预算数差异原因主要为：本年事业人员追加增资调资预算及追加发放未休假补贴预算，导致超出年初预算数。</w:t>
      </w:r>
    </w:p>
    <w:p>
      <w:pPr>
        <w:widowControl/>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司法（款）其他司法支出（项）。年初预算286.75万元，支出决算172.05万元，完成年初预算的60%。决算数与年初预算数的差异原因：本年支出上年结转中央和自治区政法</w:t>
      </w:r>
      <w:r>
        <w:rPr>
          <w:rFonts w:hint="default" w:ascii="仿宋_GB2312" w:hAnsi="仿宋_GB2312" w:eastAsia="仿宋_GB2312" w:cs="仿宋_GB2312"/>
          <w:sz w:val="32"/>
          <w:szCs w:val="32"/>
          <w:lang w:val="en"/>
        </w:rPr>
        <w:t>专项</w:t>
      </w:r>
      <w:r>
        <w:rPr>
          <w:rFonts w:hint="eastAsia" w:ascii="仿宋_GB2312" w:hAnsi="仿宋_GB2312" w:eastAsia="仿宋_GB2312" w:cs="仿宋_GB2312"/>
          <w:sz w:val="32"/>
          <w:szCs w:val="32"/>
        </w:rPr>
        <w:t>资金支出，用于办案（业务）费和装备费支出。</w:t>
      </w:r>
    </w:p>
    <w:p>
      <w:pPr>
        <w:widowControl/>
        <w:spacing w:line="580" w:lineRule="exact"/>
        <w:ind w:firstLine="640" w:firstLineChars="200"/>
        <w:rPr>
          <w:rFonts w:hint="eastAsia" w:ascii="楷体" w:hAnsi="楷体" w:eastAsia="楷体" w:cs="楷体"/>
          <w:kern w:val="0"/>
          <w:sz w:val="32"/>
          <w:szCs w:val="32"/>
        </w:rPr>
      </w:pPr>
    </w:p>
    <w:p>
      <w:pPr>
        <w:widowControl/>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（二）社会保障和就业支出（类）</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社会保障和就业支出类决算数为197.62万元，与年初预算相比增加21.64万元。其中：</w:t>
      </w:r>
    </w:p>
    <w:p>
      <w:pPr>
        <w:numPr>
          <w:ilvl w:val="0"/>
          <w:numId w:val="4"/>
        </w:numPr>
        <w:spacing w:line="580" w:lineRule="exact"/>
        <w:ind w:firstLine="640" w:firstLineChars="200"/>
        <w:rPr>
          <w:rFonts w:ascii="CESI仿宋-GB18030" w:hAnsi="CESI仿宋-GB18030" w:eastAsia="CESI仿宋-GB18030" w:cs="CESI仿宋-GB18030"/>
          <w:sz w:val="32"/>
          <w:szCs w:val="32"/>
        </w:rPr>
      </w:pPr>
      <w:r>
        <w:rPr>
          <w:rFonts w:hint="eastAsia" w:ascii="CESI仿宋-GB18030" w:hAnsi="CESI仿宋-GB18030" w:eastAsia="CESI仿宋-GB18030" w:cs="CESI仿宋-GB18030"/>
          <w:color w:val="000000"/>
          <w:sz w:val="32"/>
          <w:szCs w:val="32"/>
        </w:rPr>
        <w:t>行政事业单位养老支出（款）行政单位离退休（项）。年初预算77.44万元，支出决算55.95万元，完成年初预算的72.25%。</w:t>
      </w:r>
      <w:r>
        <w:rPr>
          <w:rFonts w:hint="eastAsia" w:ascii="CESI仿宋-GB18030" w:hAnsi="CESI仿宋-GB18030" w:eastAsia="CESI仿宋-GB18030" w:cs="CESI仿宋-GB18030"/>
          <w:sz w:val="32"/>
          <w:szCs w:val="32"/>
        </w:rPr>
        <w:t>决算数与年初预算数差异原因主要为：本年有离退休职工去逝。</w:t>
      </w:r>
    </w:p>
    <w:p>
      <w:pPr>
        <w:numPr>
          <w:ilvl w:val="0"/>
          <w:numId w:val="4"/>
        </w:numPr>
        <w:spacing w:line="580" w:lineRule="exact"/>
        <w:ind w:firstLine="640" w:firstLineChars="200"/>
        <w:rPr>
          <w:rFonts w:ascii="CESI仿宋-GB18030" w:hAnsi="CESI仿宋-GB18030" w:eastAsia="CESI仿宋-GB18030" w:cs="CESI仿宋-GB18030"/>
          <w:sz w:val="32"/>
          <w:szCs w:val="32"/>
        </w:rPr>
      </w:pPr>
      <w:r>
        <w:rPr>
          <w:rFonts w:hint="eastAsia" w:ascii="CESI仿宋-GB18030" w:hAnsi="CESI仿宋-GB18030" w:eastAsia="CESI仿宋-GB18030" w:cs="CESI仿宋-GB18030"/>
          <w:color w:val="000000"/>
          <w:sz w:val="32"/>
          <w:szCs w:val="32"/>
        </w:rPr>
        <w:t>行政事业单位养老支出（款）机关事业单位基本养老保险缴费支出（项）。年初预算96.6万元，支出决算89.5万元，完成年初预算的92.65%。决算数与年初预算数的差异原因：</w:t>
      </w:r>
      <w:r>
        <w:rPr>
          <w:rFonts w:hint="eastAsia" w:ascii="CESI仿宋-GB18030" w:hAnsi="CESI仿宋-GB18030" w:eastAsia="CESI仿宋-GB18030" w:cs="CESI仿宋-GB18030"/>
          <w:sz w:val="32"/>
          <w:szCs w:val="32"/>
        </w:rPr>
        <w:t>因本年度有人员退休，使本年在职人员缴纳养老保险总额较上年有所减少。</w:t>
      </w:r>
    </w:p>
    <w:p>
      <w:pPr>
        <w:numPr>
          <w:ilvl w:val="0"/>
          <w:numId w:val="4"/>
        </w:numPr>
        <w:spacing w:line="580" w:lineRule="exact"/>
        <w:ind w:firstLine="640" w:firstLineChars="200"/>
        <w:rPr>
          <w:rFonts w:ascii="CESI仿宋-GB18030" w:hAnsi="CESI仿宋-GB18030" w:eastAsia="CESI仿宋-GB18030" w:cs="CESI仿宋-GB18030"/>
          <w:kern w:val="0"/>
          <w:sz w:val="32"/>
          <w:szCs w:val="32"/>
        </w:rPr>
      </w:pPr>
      <w:r>
        <w:rPr>
          <w:rFonts w:hint="eastAsia" w:ascii="仿宋_GB2312" w:hAnsi="仿宋_GB2312" w:eastAsia="仿宋_GB2312" w:cs="仿宋_GB2312"/>
          <w:sz w:val="32"/>
          <w:szCs w:val="32"/>
        </w:rPr>
        <w:t>行政事业单位养老支出（款）机关事业单位职业年金缴费支出（项）。年初预算0万元，支出决算19.91万元。决算数与年初预算数的差异原因：本年度补缴2名调出人员和1名退休人员职业年金。</w:t>
      </w:r>
    </w:p>
    <w:p>
      <w:pPr>
        <w:numPr>
          <w:ilvl w:val="0"/>
          <w:numId w:val="4"/>
        </w:numPr>
        <w:spacing w:line="580" w:lineRule="exact"/>
        <w:ind w:firstLine="640" w:firstLineChars="200"/>
        <w:rPr>
          <w:rFonts w:ascii="CESI仿宋-GB18030" w:hAnsi="CESI仿宋-GB18030" w:eastAsia="CESI仿宋-GB18030" w:cs="CESI仿宋-GB18030"/>
          <w:kern w:val="0"/>
          <w:sz w:val="32"/>
          <w:szCs w:val="32"/>
        </w:rPr>
      </w:pPr>
      <w:r>
        <w:rPr>
          <w:rFonts w:hint="eastAsia" w:ascii="CESI仿宋-GB18030" w:hAnsi="CESI仿宋-GB18030" w:eastAsia="CESI仿宋-GB18030" w:cs="CESI仿宋-GB18030"/>
          <w:kern w:val="0"/>
          <w:sz w:val="32"/>
          <w:szCs w:val="32"/>
        </w:rPr>
        <w:t>抚恤（款）死亡抚恤（项）。年初预算0万元，支出决算30.51万元。决算数与年初预算数的差异原因为：本年有退休人员去逝，追加了死亡抚恤预算。</w:t>
      </w:r>
    </w:p>
    <w:p>
      <w:pPr>
        <w:numPr>
          <w:ilvl w:val="0"/>
          <w:numId w:val="4"/>
        </w:numPr>
        <w:spacing w:line="580" w:lineRule="exact"/>
        <w:ind w:firstLine="640" w:firstLineChars="200"/>
        <w:rPr>
          <w:rFonts w:ascii="CESI仿宋-GB18030" w:hAnsi="CESI仿宋-GB18030" w:eastAsia="CESI仿宋-GB18030" w:cs="CESI仿宋-GB18030"/>
          <w:kern w:val="0"/>
          <w:sz w:val="32"/>
          <w:szCs w:val="32"/>
        </w:rPr>
      </w:pPr>
      <w:r>
        <w:rPr>
          <w:rFonts w:hint="eastAsia" w:ascii="CESI仿宋-GB18030" w:hAnsi="CESI仿宋-GB18030" w:eastAsia="CESI仿宋-GB18030" w:cs="CESI仿宋-GB18030"/>
          <w:color w:val="000000"/>
          <w:sz w:val="32"/>
          <w:szCs w:val="32"/>
        </w:rPr>
        <w:t>其他社会保障和就业支出（款）其他社会保障和就业支出（项）。年初预算1.94万元，支出决算1.75万元，完成年初预算的90.21%。决算数与年初预算数无明显差异。</w:t>
      </w:r>
    </w:p>
    <w:p>
      <w:pPr>
        <w:widowControl/>
        <w:spacing w:line="580" w:lineRule="exact"/>
        <w:ind w:firstLine="640" w:firstLineChars="200"/>
        <w:jc w:val="left"/>
        <w:rPr>
          <w:rFonts w:hint="eastAsia" w:ascii="楷体" w:hAnsi="楷体" w:eastAsia="楷体" w:cs="楷体"/>
          <w:kern w:val="0"/>
          <w:sz w:val="32"/>
          <w:szCs w:val="32"/>
        </w:rPr>
      </w:pPr>
    </w:p>
    <w:p>
      <w:pPr>
        <w:widowControl/>
        <w:spacing w:line="580" w:lineRule="exact"/>
        <w:ind w:firstLine="640" w:firstLineChars="200"/>
        <w:jc w:val="left"/>
        <w:rPr>
          <w:rFonts w:hint="eastAsia" w:ascii="楷体" w:hAnsi="楷体" w:eastAsia="楷体" w:cs="楷体"/>
          <w:kern w:val="0"/>
          <w:sz w:val="32"/>
          <w:szCs w:val="32"/>
        </w:rPr>
      </w:pPr>
    </w:p>
    <w:p>
      <w:pPr>
        <w:widowControl/>
        <w:spacing w:line="580" w:lineRule="exact"/>
        <w:ind w:firstLine="640" w:firstLineChars="200"/>
        <w:jc w:val="left"/>
        <w:rPr>
          <w:rFonts w:eastAsia="Times New Roman"/>
          <w:kern w:val="0"/>
          <w:sz w:val="24"/>
        </w:rPr>
      </w:pPr>
      <w:r>
        <w:rPr>
          <w:rFonts w:hint="eastAsia" w:ascii="楷体" w:hAnsi="楷体" w:eastAsia="楷体" w:cs="楷体"/>
          <w:kern w:val="0"/>
          <w:sz w:val="32"/>
          <w:szCs w:val="32"/>
        </w:rPr>
        <w:t>（三）卫生健康支出（类）</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卫生健康支出类决算数为60.54万元，与年初预算相比增加2.39万元。其中：</w:t>
      </w:r>
    </w:p>
    <w:p>
      <w:pPr>
        <w:numPr>
          <w:ilvl w:val="0"/>
          <w:numId w:val="5"/>
        </w:numPr>
        <w:spacing w:line="580" w:lineRule="exact"/>
        <w:ind w:firstLine="640" w:firstLineChars="200"/>
        <w:rPr>
          <w:rFonts w:ascii="仿宋_GB2312" w:hAnsi="仿宋_GB2312" w:eastAsia="仿宋_GB2312"/>
          <w:color w:val="000000"/>
          <w:sz w:val="32"/>
        </w:rPr>
      </w:pPr>
      <w:r>
        <w:rPr>
          <w:rFonts w:hint="eastAsia" w:ascii="仿宋_GB2312" w:hAnsi="仿宋_GB2312" w:eastAsia="仿宋_GB2312"/>
          <w:color w:val="000000"/>
          <w:sz w:val="32"/>
        </w:rPr>
        <w:t>行政事业单位医疗（款）行政单位医疗（项）。年初预算</w:t>
      </w:r>
      <w:r>
        <w:rPr>
          <w:rFonts w:hint="eastAsia"/>
          <w:color w:val="000000"/>
          <w:sz w:val="32"/>
        </w:rPr>
        <w:t>57.53</w:t>
      </w:r>
      <w:r>
        <w:rPr>
          <w:rFonts w:hint="eastAsia" w:ascii="仿宋_GB2312" w:hAnsi="仿宋_GB2312" w:eastAsia="仿宋_GB2312"/>
          <w:color w:val="000000"/>
          <w:sz w:val="32"/>
        </w:rPr>
        <w:t>万元，支出决算</w:t>
      </w:r>
      <w:r>
        <w:rPr>
          <w:rFonts w:hint="eastAsia"/>
          <w:color w:val="000000"/>
          <w:sz w:val="32"/>
        </w:rPr>
        <w:t>59.93</w:t>
      </w:r>
      <w:r>
        <w:rPr>
          <w:rFonts w:hint="eastAsia" w:ascii="仿宋_GB2312" w:hAnsi="仿宋_GB2312" w:eastAsia="仿宋_GB2312"/>
          <w:color w:val="000000"/>
          <w:sz w:val="32"/>
        </w:rPr>
        <w:t>万元，完成年初预算的</w:t>
      </w:r>
      <w:r>
        <w:rPr>
          <w:rFonts w:hint="eastAsia"/>
          <w:color w:val="000000"/>
          <w:sz w:val="32"/>
        </w:rPr>
        <w:t>104.17</w:t>
      </w:r>
      <w:r>
        <w:rPr>
          <w:rFonts w:hint="eastAsia" w:ascii="仿宋_GB2312" w:hAnsi="仿宋_GB2312" w:eastAsia="仿宋_GB2312"/>
          <w:color w:val="000000"/>
          <w:sz w:val="32"/>
        </w:rPr>
        <w:t>%。决算数与年初预算数的差异原因：本年人员调整医疗保险缴费基数，导致缴纳医疗保险总额较预算有所增加。</w:t>
      </w:r>
    </w:p>
    <w:p>
      <w:pPr>
        <w:numPr>
          <w:ilvl w:val="0"/>
          <w:numId w:val="5"/>
        </w:numPr>
        <w:spacing w:line="580" w:lineRule="exact"/>
        <w:ind w:firstLine="640" w:firstLineChars="200"/>
        <w:rPr>
          <w:rFonts w:ascii="仿宋_GB2312" w:hAnsi="仿宋_GB2312" w:eastAsia="仿宋_GB2312"/>
          <w:color w:val="000000"/>
          <w:sz w:val="32"/>
        </w:rPr>
      </w:pPr>
      <w:r>
        <w:rPr>
          <w:rFonts w:hint="eastAsia" w:ascii="仿宋_GB2312" w:hAnsi="仿宋_GB2312" w:eastAsia="仿宋_GB2312"/>
          <w:color w:val="000000"/>
          <w:sz w:val="32"/>
        </w:rPr>
        <w:t>行政事业单位医疗（款）事业单位医疗（项）。年初预算</w:t>
      </w:r>
      <w:r>
        <w:rPr>
          <w:rFonts w:hint="eastAsia"/>
          <w:color w:val="000000"/>
          <w:sz w:val="32"/>
        </w:rPr>
        <w:t>0.62</w:t>
      </w:r>
      <w:r>
        <w:rPr>
          <w:rFonts w:hint="eastAsia" w:ascii="仿宋_GB2312" w:hAnsi="仿宋_GB2312" w:eastAsia="仿宋_GB2312"/>
          <w:color w:val="000000"/>
          <w:sz w:val="32"/>
        </w:rPr>
        <w:t>万元，支出决算</w:t>
      </w:r>
      <w:r>
        <w:rPr>
          <w:rFonts w:hint="eastAsia"/>
          <w:color w:val="000000"/>
          <w:sz w:val="32"/>
        </w:rPr>
        <w:t>0.62</w:t>
      </w:r>
      <w:r>
        <w:rPr>
          <w:rFonts w:hint="eastAsia" w:ascii="仿宋_GB2312" w:hAnsi="仿宋_GB2312" w:eastAsia="仿宋_GB2312"/>
          <w:color w:val="000000"/>
          <w:sz w:val="32"/>
        </w:rPr>
        <w:t>万元，完成年初预算的</w:t>
      </w:r>
      <w:r>
        <w:rPr>
          <w:rFonts w:hint="eastAsia"/>
          <w:color w:val="000000"/>
          <w:sz w:val="32"/>
        </w:rPr>
        <w:t>100</w:t>
      </w:r>
      <w:r>
        <w:rPr>
          <w:rFonts w:hint="eastAsia" w:ascii="仿宋_GB2312" w:hAnsi="仿宋_GB2312" w:eastAsia="仿宋_GB2312"/>
          <w:color w:val="000000"/>
          <w:sz w:val="32"/>
        </w:rPr>
        <w:t>%。决算数与年初预算数无差异。</w:t>
      </w:r>
    </w:p>
    <w:p>
      <w:pPr>
        <w:tabs>
          <w:tab w:val="left" w:pos="4275"/>
        </w:tabs>
        <w:spacing w:line="580" w:lineRule="exact"/>
        <w:ind w:firstLine="643"/>
        <w:rPr>
          <w:rFonts w:eastAsia="Times New Roman"/>
          <w:bCs/>
          <w:color w:val="000000"/>
          <w:sz w:val="32"/>
        </w:rPr>
      </w:pPr>
      <w:r>
        <w:rPr>
          <w:rFonts w:hint="eastAsia" w:ascii="楷体" w:hAnsi="楷体" w:eastAsia="楷体"/>
          <w:bCs/>
          <w:color w:val="000000"/>
          <w:sz w:val="32"/>
        </w:rPr>
        <w:t>（四）农林水支出（类）</w:t>
      </w:r>
    </w:p>
    <w:p>
      <w:pPr>
        <w:spacing w:line="580" w:lineRule="exact"/>
        <w:ind w:firstLine="640" w:firstLineChars="200"/>
        <w:rPr>
          <w:rFonts w:ascii="CESI仿宋-GB18030" w:hAnsi="CESI仿宋-GB18030" w:eastAsia="CESI仿宋-GB18030" w:cs="CESI仿宋-GB18030"/>
          <w:color w:val="000000"/>
          <w:sz w:val="32"/>
          <w:szCs w:val="32"/>
        </w:rPr>
      </w:pPr>
      <w:r>
        <w:rPr>
          <w:rFonts w:hint="eastAsia" w:ascii="CESI仿宋-GB18030" w:hAnsi="CESI仿宋-GB18030" w:eastAsia="CESI仿宋-GB18030" w:cs="CESI仿宋-GB18030"/>
          <w:color w:val="000000"/>
          <w:sz w:val="32"/>
          <w:szCs w:val="32"/>
        </w:rPr>
        <w:t>农林水支出类决算数为6.86万元，与年初预算相比增加4.07万元。其中：</w:t>
      </w:r>
    </w:p>
    <w:p>
      <w:pPr>
        <w:numPr>
          <w:ilvl w:val="0"/>
          <w:numId w:val="6"/>
        </w:numPr>
        <w:tabs>
          <w:tab w:val="left" w:pos="4275"/>
        </w:tabs>
        <w:spacing w:line="580" w:lineRule="exact"/>
        <w:ind w:firstLine="643"/>
        <w:rPr>
          <w:rFonts w:ascii="CESI仿宋-GB18030" w:hAnsi="CESI仿宋-GB18030" w:eastAsia="CESI仿宋-GB18030" w:cs="CESI仿宋-GB18030"/>
          <w:kern w:val="0"/>
          <w:sz w:val="32"/>
          <w:szCs w:val="32"/>
        </w:rPr>
      </w:pPr>
      <w:r>
        <w:rPr>
          <w:rFonts w:hint="eastAsia" w:ascii="CESI仿宋-GB18030" w:hAnsi="CESI仿宋-GB18030" w:eastAsia="CESI仿宋-GB18030" w:cs="CESI仿宋-GB18030"/>
          <w:color w:val="000000"/>
          <w:sz w:val="32"/>
          <w:szCs w:val="32"/>
        </w:rPr>
        <w:t>巩固脱贫衔接乡村振兴（款）其他巩固脱贫衔接乡村振兴支出（项）。年初预算2.79万元，支出决算6.86万元</w:t>
      </w:r>
      <w:r>
        <w:rPr>
          <w:rFonts w:hint="eastAsia" w:ascii="CESI仿宋-GB18030" w:hAnsi="CESI仿宋-GB18030" w:eastAsia="CESI仿宋-GB18030" w:cs="CESI仿宋-GB18030"/>
          <w:color w:val="000000"/>
          <w:sz w:val="32"/>
          <w:szCs w:val="32"/>
          <w:lang w:eastAsia="zh-CN"/>
        </w:rPr>
        <w:t>，</w:t>
      </w:r>
      <w:r>
        <w:rPr>
          <w:rFonts w:hint="eastAsia" w:ascii="仿宋_GB2312" w:hAnsi="仿宋_GB2312" w:eastAsia="仿宋_GB2312" w:cs="仿宋_GB2312"/>
          <w:color w:val="auto"/>
          <w:kern w:val="2"/>
          <w:sz w:val="32"/>
          <w:szCs w:val="32"/>
        </w:rPr>
        <w:t>完成年初预算的</w:t>
      </w:r>
      <w:r>
        <w:rPr>
          <w:rFonts w:hint="eastAsia" w:ascii="仿宋_GB2312" w:hAnsi="仿宋_GB2312" w:eastAsia="仿宋_GB2312" w:cs="仿宋_GB2312"/>
          <w:color w:val="auto"/>
          <w:kern w:val="2"/>
          <w:sz w:val="32"/>
          <w:szCs w:val="32"/>
          <w:lang w:val="en-US" w:eastAsia="zh-CN"/>
        </w:rPr>
        <w:t>245.88</w:t>
      </w:r>
      <w:r>
        <w:rPr>
          <w:rFonts w:hint="eastAsia" w:ascii="仿宋_GB2312" w:hAnsi="仿宋_GB2312" w:eastAsia="仿宋_GB2312" w:cs="仿宋_GB2312"/>
          <w:color w:val="auto"/>
          <w:kern w:val="2"/>
          <w:sz w:val="32"/>
          <w:szCs w:val="32"/>
        </w:rPr>
        <w:t>%</w:t>
      </w:r>
      <w:r>
        <w:rPr>
          <w:rFonts w:hint="eastAsia" w:ascii="CESI仿宋-GB18030" w:hAnsi="CESI仿宋-GB18030" w:eastAsia="CESI仿宋-GB18030" w:cs="CESI仿宋-GB18030"/>
          <w:color w:val="000000"/>
          <w:sz w:val="32"/>
          <w:szCs w:val="32"/>
        </w:rPr>
        <w:t>。决算数与年初预算数的差异原因：</w:t>
      </w:r>
      <w:r>
        <w:rPr>
          <w:rFonts w:hint="eastAsia" w:ascii="CESI仿宋-GB18030" w:hAnsi="CESI仿宋-GB18030" w:eastAsia="CESI仿宋-GB18030" w:cs="CESI仿宋-GB18030"/>
          <w:sz w:val="32"/>
          <w:szCs w:val="32"/>
        </w:rPr>
        <w:t>本年支出当年追加驻村人员驻村补助预算支出。</w:t>
      </w:r>
    </w:p>
    <w:p>
      <w:pPr>
        <w:tabs>
          <w:tab w:val="left" w:pos="4275"/>
        </w:tabs>
        <w:spacing w:line="580" w:lineRule="exact"/>
        <w:ind w:firstLine="640" w:firstLineChars="200"/>
        <w:rPr>
          <w:rFonts w:eastAsia="Times New Roman"/>
          <w:kern w:val="0"/>
          <w:sz w:val="24"/>
        </w:rPr>
      </w:pPr>
      <w:r>
        <w:rPr>
          <w:rFonts w:hint="eastAsia" w:ascii="楷体" w:hAnsi="楷体" w:eastAsia="楷体"/>
          <w:bCs/>
          <w:color w:val="000000"/>
          <w:sz w:val="32"/>
        </w:rPr>
        <w:t>（五）住房保障支出（类）</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住房保障支出类决算数为 93.34万元，与年初预算相比减少4.52万元。其中：</w:t>
      </w:r>
    </w:p>
    <w:p>
      <w:pPr>
        <w:widowControl/>
        <w:numPr>
          <w:ilvl w:val="0"/>
          <w:numId w:val="7"/>
        </w:num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住房改革支出（款）住房公积金（项）。年初预算97.86万元，支出决算93.34万元，完成年初预算的95.38%。决算数与年初预算数的差异原因：本年</w:t>
      </w:r>
      <w:r>
        <w:rPr>
          <w:rFonts w:hint="default" w:ascii="仿宋_GB2312" w:hAnsi="仿宋_GB2312" w:eastAsia="仿宋_GB2312" w:cs="仿宋_GB2312"/>
          <w:kern w:val="0"/>
          <w:sz w:val="32"/>
          <w:szCs w:val="32"/>
          <w:lang w:val="en"/>
        </w:rPr>
        <w:t>调出2人，退休1人</w:t>
      </w:r>
      <w:r>
        <w:rPr>
          <w:rFonts w:hint="eastAsia" w:ascii="仿宋_GB2312" w:hAnsi="仿宋_GB2312" w:eastAsia="仿宋_GB2312" w:cs="仿宋_GB2312"/>
          <w:kern w:val="0"/>
          <w:sz w:val="32"/>
          <w:szCs w:val="32"/>
        </w:rPr>
        <w:t>，</w:t>
      </w:r>
      <w:r>
        <w:rPr>
          <w:rFonts w:hint="default" w:ascii="仿宋_GB2312" w:hAnsi="仿宋_GB2312" w:eastAsia="仿宋_GB2312" w:cs="仿宋_GB2312"/>
          <w:kern w:val="0"/>
          <w:sz w:val="32"/>
          <w:szCs w:val="32"/>
          <w:lang w:val="en"/>
        </w:rPr>
        <w:t>导致</w:t>
      </w:r>
      <w:r>
        <w:rPr>
          <w:rFonts w:hint="eastAsia" w:ascii="仿宋_GB2312" w:hAnsi="仿宋_GB2312" w:eastAsia="仿宋_GB2312" w:cs="仿宋_GB2312"/>
          <w:kern w:val="0"/>
          <w:sz w:val="32"/>
          <w:szCs w:val="32"/>
        </w:rPr>
        <w:t>住房公积金缴费总额较预算有所减少。</w:t>
      </w:r>
    </w:p>
    <w:p>
      <w:pPr>
        <w:pStyle w:val="28"/>
        <w:widowControl/>
        <w:spacing w:line="580" w:lineRule="exact"/>
        <w:ind w:left="720" w:firstLine="0" w:firstLineChars="0"/>
        <w:rPr>
          <w:rFonts w:ascii="黑体" w:hAnsi="黑体" w:eastAsia="黑体" w:cs="黑体"/>
          <w:kern w:val="0"/>
          <w:sz w:val="32"/>
          <w:szCs w:val="32"/>
        </w:rPr>
      </w:pPr>
      <w:r>
        <w:rPr>
          <w:rFonts w:hint="eastAsia" w:ascii="黑体" w:hAnsi="黑体" w:eastAsia="黑体" w:cs="黑体"/>
          <w:kern w:val="0"/>
          <w:sz w:val="32"/>
          <w:szCs w:val="32"/>
        </w:rPr>
        <w:t>六、一般公共预算财政拨款基本支出决算情况说明</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 2025年度一般公共预算财政拨款基本支出决算1458.15万元，其中：</w:t>
      </w:r>
    </w:p>
    <w:p>
      <w:pPr>
        <w:spacing w:line="580" w:lineRule="exact"/>
        <w:ind w:firstLine="640" w:firstLineChars="200"/>
        <w:rPr>
          <w:rFonts w:ascii="仿宋_GB2312" w:hAnsi="仿宋_GB2312" w:eastAsia="仿宋_GB2312" w:cs="仿宋_GB2312"/>
          <w:kern w:val="0"/>
          <w:sz w:val="32"/>
          <w:szCs w:val="32"/>
        </w:rPr>
      </w:pPr>
      <w:r>
        <w:rPr>
          <w:rFonts w:hint="eastAsia" w:ascii="楷体" w:hAnsi="楷体" w:eastAsia="楷体" w:cs="楷体"/>
          <w:kern w:val="0"/>
          <w:sz w:val="32"/>
          <w:szCs w:val="32"/>
        </w:rPr>
        <w:t>（一）人员经费1202.92万元。</w:t>
      </w:r>
      <w:r>
        <w:rPr>
          <w:rFonts w:hint="eastAsia" w:ascii="仿宋_GB2312" w:hAnsi="仿宋_GB2312" w:eastAsia="仿宋_GB2312" w:cs="仿宋_GB2312"/>
          <w:kern w:val="0"/>
          <w:sz w:val="32"/>
          <w:szCs w:val="32"/>
        </w:rPr>
        <w:t>主要包括：基本工资363.09万元、津贴补贴353.5万元、奖金94.83万元、绩效工资2.86万元、机关事业单位基本养老保险缴费89.5万元、职业年金缴费19.91万元、职工基本医疗保险缴费60.45万元、其他社会保障缴费1.75万元、住房公积金93.34万元、其他工资福利支出27.12万元、对个人和家庭的补助96.49万元、退休费52.17万元、抚恤金30.51万元、生活补助11.86万元、奖励金1.95万元。</w:t>
      </w:r>
    </w:p>
    <w:p>
      <w:pPr>
        <w:spacing w:line="580" w:lineRule="exact"/>
        <w:ind w:firstLine="643"/>
        <w:rPr>
          <w:rFonts w:ascii="仿宋_GB2312" w:hAnsi="仿宋_GB2312" w:eastAsia="仿宋_GB2312" w:cs="仿宋_GB2312"/>
          <w:kern w:val="0"/>
          <w:sz w:val="32"/>
          <w:szCs w:val="32"/>
        </w:rPr>
      </w:pPr>
      <w:r>
        <w:rPr>
          <w:rFonts w:hint="eastAsia" w:ascii="楷体" w:hAnsi="楷体" w:eastAsia="楷体" w:cs="楷体"/>
          <w:kern w:val="0"/>
          <w:sz w:val="32"/>
          <w:szCs w:val="32"/>
        </w:rPr>
        <w:t>（二）公用经费255.23万元。</w:t>
      </w:r>
      <w:r>
        <w:rPr>
          <w:rFonts w:hint="eastAsia" w:ascii="仿宋_GB2312" w:hAnsi="仿宋_GB2312" w:eastAsia="仿宋_GB2312" w:cs="仿宋_GB2312"/>
          <w:kern w:val="0"/>
          <w:sz w:val="32"/>
          <w:szCs w:val="32"/>
        </w:rPr>
        <w:t>主要包括：办公费51.08万元、  水费1.1万元、电费14.82万元、邮电费1.25万元、取暖费11.08万元、物业管理费42万元、差旅费1.8万元、维修（护）费23.2万元、会议费2.65万元、培训费1.54万元、公务接待费0.64万元、劳务费2万元、福利费20.4万元、公务用车运行维护费18.11万元、其他交通费用59.44万元、其他商品和服务支出4.07万元。</w:t>
      </w:r>
    </w:p>
    <w:p>
      <w:pPr>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七、一般公共预算财政拨款项目支出决算情况说明</w:t>
      </w:r>
    </w:p>
    <w:p>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 2025年度一般公共预算财政拨款项目支出决算421.44万元，其中：</w:t>
      </w:r>
    </w:p>
    <w:p>
      <w:pPr>
        <w:spacing w:line="580" w:lineRule="exact"/>
        <w:ind w:firstLine="640" w:firstLineChars="200"/>
        <w:rPr>
          <w:rFonts w:eastAsia="Times New Roman"/>
          <w:kern w:val="0"/>
          <w:sz w:val="24"/>
        </w:rPr>
      </w:pPr>
      <w:r>
        <w:rPr>
          <w:rFonts w:hint="eastAsia" w:ascii="楷体" w:hAnsi="楷体" w:eastAsia="楷体" w:cs="楷体"/>
          <w:kern w:val="0"/>
          <w:sz w:val="32"/>
          <w:szCs w:val="32"/>
        </w:rPr>
        <w:t>（一）工资福利支出 0.00万元。</w:t>
      </w:r>
    </w:p>
    <w:p>
      <w:pPr>
        <w:spacing w:line="580" w:lineRule="exact"/>
        <w:ind w:firstLine="640" w:firstLineChars="200"/>
        <w:rPr>
          <w:rFonts w:ascii="仿宋_GB2312" w:hAnsi="仿宋_GB2312" w:eastAsia="仿宋_GB2312"/>
          <w:sz w:val="32"/>
        </w:rPr>
      </w:pPr>
      <w:r>
        <w:rPr>
          <w:rFonts w:hint="eastAsia" w:ascii="楷体" w:hAnsi="楷体" w:eastAsia="楷体" w:cs="楷体"/>
          <w:kern w:val="0"/>
          <w:sz w:val="32"/>
          <w:szCs w:val="32"/>
        </w:rPr>
        <w:t>（二）商品和服务支出404.24万元。</w:t>
      </w:r>
      <w:r>
        <w:rPr>
          <w:rFonts w:hint="eastAsia" w:ascii="仿宋_GB2312" w:hAnsi="仿宋_GB2312" w:eastAsia="仿宋_GB2312"/>
          <w:sz w:val="32"/>
        </w:rPr>
        <w:t>主要包括：办公费314.46万元、印刷费42.2万元、邮电费7.18万元、差旅费19.71万元、维修（护）费2.86万元、租赁费1.45万元、会议费5.85万元、培训费3.35万元、劳务费2.63万元、其他交通费用2.46万元、 其他商品和服务支出2.1万元。</w:t>
      </w:r>
    </w:p>
    <w:p>
      <w:pPr>
        <w:spacing w:line="580" w:lineRule="exact"/>
        <w:ind w:firstLine="643"/>
        <w:rPr>
          <w:rFonts w:ascii="仿宋_GB2312" w:hAnsi="仿宋_GB2312" w:eastAsia="仿宋_GB2312"/>
          <w:sz w:val="32"/>
        </w:rPr>
      </w:pPr>
      <w:r>
        <w:rPr>
          <w:rFonts w:hint="eastAsia" w:ascii="楷体" w:hAnsi="楷体" w:eastAsia="楷体" w:cs="楷体"/>
          <w:kern w:val="0"/>
          <w:sz w:val="32"/>
          <w:szCs w:val="32"/>
        </w:rPr>
        <w:t>（三）资本性支出17.2万元。</w:t>
      </w:r>
      <w:r>
        <w:rPr>
          <w:rFonts w:hint="eastAsia" w:ascii="仿宋_GB2312" w:hAnsi="仿宋_GB2312" w:eastAsia="仿宋_GB2312"/>
          <w:sz w:val="32"/>
        </w:rPr>
        <w:t>主要包括：办公设备购置14.4万元、信息网络及软件购置更新2.8万元。</w:t>
      </w:r>
    </w:p>
    <w:p>
      <w:pPr>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八、财政拨款“三公”经费支出决算情况说明</w:t>
      </w:r>
    </w:p>
    <w:p>
      <w:pPr>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（一）财政拨款“三公”经费支出总体情况说明。</w:t>
      </w:r>
    </w:p>
    <w:p>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赤峰市司法局（本级）2025年度财政拨款“三公”经费全年预算18.75万元，支出决算18.75万元，完成预算的100.00%。其中：因公出国（境）费全年预算 0.00万元，支出决算 0.00万元；公务用车购置及运行维护费全年预算18.11万元，支出决算18.11万元，完成预算的100%；公务接待费全年预算0.64万元，支出决算0.64万元，完成预算的100%。2025年度一般公共预算财政拨款“三公”经费支出决算与年初预算无差异。</w:t>
      </w:r>
    </w:p>
    <w:p>
      <w:pPr>
        <w:numPr>
          <w:ilvl w:val="0"/>
          <w:numId w:val="8"/>
        </w:numPr>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财政拨款“三公”经费支出具体情况说明。</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赤峰市司法局（本级）2025年度财政拨款“三公”经费支出 18.75万元。因公出国（境）费支出0万元，占0%；公务用车购置及运行维护费支出18.11万元，占96.59%；公务接待费支出0.64万元，占3.41%。其中：</w:t>
      </w:r>
    </w:p>
    <w:p>
      <w:pPr>
        <w:widowControl/>
        <w:numPr>
          <w:ilvl w:val="0"/>
          <w:numId w:val="9"/>
        </w:num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因公出国（境）费支出 0.00万元，全年出国（境）团组0 个，累计0 人次。与上年决算相比，增加（减少） 0.00万元，增长0%。</w:t>
      </w:r>
    </w:p>
    <w:p>
      <w:pPr>
        <w:widowControl/>
        <w:numPr>
          <w:ilvl w:val="0"/>
          <w:numId w:val="9"/>
        </w:num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公务用车购置及运行维护费支出18.11万元。其中：</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（1）公务用车购置支出0.00万元。本年度使用财政拨款购置公务用车0辆。与上年决算相比，增加0.00万元，增长0%。</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公务用车运行维护费支出18.11万元。公务用车运行维护费主要用于按规定保留的公务用车的燃料费、维修费、过桥过路费、保险费、安全奖励费用等支出。截至2025年12月31日，使用财政拨款开支的公务用车保有量为6辆。与上年决算相比，减少</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12万元，减少0.64%，变动原因：本年本着厉行节约的原则，继续压减公务用车支出，减少用车次数，公务用车运行维护费支出不超预算支出，不超上年支出。</w:t>
      </w:r>
    </w:p>
    <w:p>
      <w:pPr>
        <w:widowControl/>
        <w:numPr>
          <w:ilvl w:val="0"/>
          <w:numId w:val="9"/>
        </w:num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公务接待费支出0.64万元。其中：国内公务接待支出0.64万元，接待8批次，55人次，开支内容：接待全区行政执法案卷评查、司法厅法律职业资格考试考点考场实地查看</w:t>
      </w:r>
      <w:r>
        <w:rPr>
          <w:rFonts w:hint="default" w:ascii="仿宋_GB2312" w:hAnsi="仿宋_GB2312" w:eastAsia="仿宋_GB2312" w:cs="仿宋_GB2312"/>
          <w:kern w:val="0"/>
          <w:sz w:val="32"/>
          <w:szCs w:val="32"/>
          <w:lang w:val="en"/>
        </w:rPr>
        <w:t>及</w:t>
      </w:r>
      <w:r>
        <w:rPr>
          <w:rFonts w:hint="eastAsia" w:ascii="仿宋_GB2312" w:hAnsi="仿宋_GB2312" w:eastAsia="仿宋_GB2312" w:cs="仿宋_GB2312"/>
          <w:kern w:val="0"/>
          <w:sz w:val="32"/>
          <w:szCs w:val="32"/>
        </w:rPr>
        <w:t>督考、司法厅行政复议案卷评查、行政复议案件听证、“八五”普法乡村采访活动等；国（境）外公务接待支出 0.00万元，接待0 批次，0 人次。与上年决算相比，减少0.25万元，减少28.38%，变动原因：本年本着厉行节约的原则，继续压减公务接待支出，公务接待费支出不超预算支出，不超上年支出。</w:t>
      </w:r>
    </w:p>
    <w:p>
      <w:pPr>
        <w:pStyle w:val="2"/>
      </w:pPr>
    </w:p>
    <w:p>
      <w:pPr>
        <w:widowControl/>
        <w:numPr>
          <w:ilvl w:val="0"/>
          <w:numId w:val="10"/>
        </w:numPr>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政府性基金预算财政拨款支出决算情况说明</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 2025年度政府性基金预算财政拨款支出决算 0.00万元。与上年决算相比，增加 0.00万元，增长0%，变动原因：本单位无政府性基金预算财政拨款收、支、余。</w:t>
      </w:r>
    </w:p>
    <w:p>
      <w:pPr>
        <w:widowControl/>
        <w:numPr>
          <w:ilvl w:val="0"/>
          <w:numId w:val="10"/>
        </w:numPr>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国有资本经营预算财政拨款支出决算情况说明</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 2025年度国有资本经营预算财政拨款支出决算 0.00万元。与上年决算相比，增加 0.00万元，增长0%，变动原因：本单位无国有资本经营预算财政拨款收、支、余。</w:t>
      </w:r>
    </w:p>
    <w:p>
      <w:pPr>
        <w:widowControl/>
        <w:numPr>
          <w:ilvl w:val="0"/>
          <w:numId w:val="10"/>
        </w:numPr>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机构运行经费支出决算情况说明</w:t>
      </w:r>
    </w:p>
    <w:p>
      <w:pPr>
        <w:widowControl/>
        <w:spacing w:line="58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 2025年度机构运行经费支出决算 255.23万元。比上年决算相比，增加12.45万元，增长5.13%，变动原因：一是本年较上年增加了办公楼楼体亮化项目维修费支出；二是本年水电费等基本支出较上年有所增加。</w:t>
      </w:r>
    </w:p>
    <w:p>
      <w:pPr>
        <w:widowControl/>
        <w:numPr>
          <w:ilvl w:val="0"/>
          <w:numId w:val="10"/>
        </w:numPr>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政府采购支出决算情况说明</w:t>
      </w:r>
    </w:p>
    <w:p>
      <w:pPr>
        <w:widowControl/>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 2025年度政府采购支出总额64.29万元，其中：政府采购货物支出12.53万元、政府采购工程支出 0.00万元、政府采购服务支出51.76万元。政府采购授予中小企业合同金额43.22万元，占政府采购支出总额的67.23%，其中：授予小微企业合同金额43.22万元，占政府采购支出总额的67.23%；货物采购授予中小企业合同金额占货物支出金额的</w:t>
      </w:r>
      <w:r>
        <w:rPr>
          <w:rFonts w:hint="eastAsia" w:ascii="仿宋_GB2312" w:hAnsi="仿宋_GB2312" w:eastAsia="仿宋_GB2312" w:cs="仿宋_GB2312"/>
          <w:kern w:val="0"/>
          <w:sz w:val="32"/>
          <w:szCs w:val="32"/>
          <w:lang w:val="en-US" w:eastAsia="zh-CN"/>
        </w:rPr>
        <w:t>40.12</w:t>
      </w:r>
      <w:r>
        <w:rPr>
          <w:rFonts w:hint="eastAsia" w:ascii="仿宋_GB2312" w:hAnsi="仿宋_GB2312" w:eastAsia="仿宋_GB2312" w:cs="仿宋_GB2312"/>
          <w:kern w:val="0"/>
          <w:sz w:val="32"/>
          <w:szCs w:val="32"/>
        </w:rPr>
        <w:t>%，工程采购授予中小企业合同金额占工程支出金额的0%，服务采购授予中小企业合同金额占服务支出金额的</w:t>
      </w:r>
      <w:r>
        <w:rPr>
          <w:rFonts w:hint="eastAsia" w:ascii="仿宋_GB2312" w:hAnsi="仿宋_GB2312" w:eastAsia="仿宋_GB2312" w:cs="仿宋_GB2312"/>
          <w:kern w:val="0"/>
          <w:sz w:val="32"/>
          <w:szCs w:val="32"/>
          <w:lang w:val="en-US" w:eastAsia="zh-CN"/>
        </w:rPr>
        <w:t>59.88</w:t>
      </w:r>
      <w:r>
        <w:rPr>
          <w:rFonts w:hint="eastAsia" w:ascii="仿宋_GB2312" w:hAnsi="仿宋_GB2312" w:eastAsia="仿宋_GB2312" w:cs="仿宋_GB2312"/>
          <w:kern w:val="0"/>
          <w:sz w:val="32"/>
          <w:szCs w:val="32"/>
        </w:rPr>
        <w:t>%。</w:t>
      </w:r>
    </w:p>
    <w:p>
      <w:pPr>
        <w:widowControl/>
        <w:numPr>
          <w:ilvl w:val="0"/>
          <w:numId w:val="10"/>
        </w:numPr>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国有资产占用情况说明</w:t>
      </w:r>
    </w:p>
    <w:p>
      <w:pPr>
        <w:widowControl/>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 截至2025年12月31日，本单位共有车辆6辆，其中：副部（省）级及以上领导用车0辆、主要负责人用车0辆、机要通信用车1辆、应急保障用车1辆、执法执勤用车4辆、特种专业技术用车0辆、离退休干部服务用车0辆，其他用车0辆；单价100万元（含）以上的设备（不含车辆）0台（套）。 </w:t>
      </w:r>
    </w:p>
    <w:p>
      <w:pPr>
        <w:pStyle w:val="30"/>
        <w:widowControl/>
        <w:spacing w:line="580" w:lineRule="exact"/>
        <w:ind w:firstLine="643"/>
        <w:jc w:val="left"/>
        <w:rPr>
          <w:rFonts w:ascii="黑体" w:hAnsi="黑体" w:eastAsia="黑体" w:cs="黑体"/>
          <w:kern w:val="0"/>
          <w:sz w:val="32"/>
          <w:szCs w:val="32"/>
        </w:rPr>
      </w:pPr>
      <w:r>
        <w:rPr>
          <w:rFonts w:ascii="黑体" w:hAnsi="黑体" w:eastAsia="黑体" w:cs="黑体"/>
          <w:kern w:val="0"/>
          <w:sz w:val="32"/>
          <w:szCs w:val="32"/>
        </w:rPr>
        <w:t>十四、预算绩效情况说明</w:t>
      </w:r>
    </w:p>
    <w:p>
      <w:pPr>
        <w:pStyle w:val="30"/>
        <w:widowControl/>
        <w:spacing w:line="580" w:lineRule="exact"/>
        <w:ind w:firstLine="643"/>
        <w:jc w:val="left"/>
        <w:rPr>
          <w:rFonts w:ascii="楷体" w:hAnsi="楷体" w:eastAsia="楷体" w:cs="楷体"/>
          <w:kern w:val="0"/>
          <w:sz w:val="32"/>
          <w:szCs w:val="32"/>
        </w:rPr>
      </w:pPr>
      <w:r>
        <w:rPr>
          <w:rFonts w:ascii="楷体" w:hAnsi="楷体" w:eastAsia="楷体" w:cs="楷体"/>
          <w:kern w:val="0"/>
          <w:sz w:val="32"/>
          <w:szCs w:val="32"/>
        </w:rPr>
        <w:t>（一）预算绩效管理工作开展情况。</w:t>
      </w:r>
    </w:p>
    <w:p>
      <w:pPr>
        <w:pStyle w:val="31"/>
        <w:widowControl/>
        <w:spacing w:line="58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赤峰市司法局（本级）根据预算绩效管理要求组织对2025年项目支出开展绩效自评。其中一般公共预算项</w:t>
      </w:r>
      <w:r>
        <w:rPr>
          <w:rFonts w:hint="eastAsia" w:ascii="仿宋_GB2312" w:hAnsi="仿宋_GB2312" w:eastAsia="仿宋_GB2312" w:cs="仿宋_GB2312"/>
          <w:color w:val="auto"/>
          <w:kern w:val="0"/>
          <w:sz w:val="32"/>
          <w:szCs w:val="32"/>
        </w:rPr>
        <w:t>目8</w:t>
      </w:r>
      <w:r>
        <w:rPr>
          <w:rFonts w:hint="eastAsia" w:ascii="仿宋_GB2312" w:hAnsi="仿宋_GB2312" w:eastAsia="仿宋_GB2312" w:cs="仿宋_GB2312"/>
          <w:kern w:val="0"/>
          <w:sz w:val="32"/>
          <w:szCs w:val="32"/>
        </w:rPr>
        <w:t>个，涉及资金421.44万元，占一般公共预算项目支出总额的100%；政府性基金预算项目0个，涉及资金0万元，占应纳入绩效自评的政府性基金预算项目支出总额的100%。</w:t>
      </w:r>
    </w:p>
    <w:p>
      <w:pPr>
        <w:pStyle w:val="31"/>
        <w:widowControl/>
        <w:spacing w:line="580" w:lineRule="exact"/>
        <w:ind w:firstLine="640"/>
        <w:rPr>
          <w:rFonts w:ascii="仿宋_GB2312" w:hAnsi="仿宋_GB2312" w:eastAsia="仿宋_GB2312" w:cs="仿宋_GB2312"/>
          <w:kern w:val="0"/>
          <w:sz w:val="32"/>
          <w:szCs w:val="32"/>
        </w:rPr>
      </w:pPr>
      <w:bookmarkStart w:id="1" w:name="OLE_LINK1"/>
      <w:r>
        <w:rPr>
          <w:rFonts w:hint="eastAsia" w:ascii="仿宋_GB2312" w:hAnsi="仿宋_GB2312" w:eastAsia="仿宋_GB2312" w:cs="仿宋_GB2312"/>
          <w:kern w:val="0"/>
          <w:sz w:val="32"/>
          <w:szCs w:val="32"/>
        </w:rPr>
        <w:t>组织对“基层司法业务经费”、“普法宣传经费”、“社区矫正工作经费”等</w:t>
      </w:r>
      <w:r>
        <w:rPr>
          <w:rFonts w:hint="eastAsia" w:ascii="仿宋_GB2312" w:hAnsi="仿宋_GB2312" w:eastAsia="仿宋_GB2312" w:cs="仿宋_GB2312"/>
          <w:color w:val="auto"/>
          <w:kern w:val="0"/>
          <w:sz w:val="32"/>
          <w:szCs w:val="32"/>
        </w:rPr>
        <w:t>8</w:t>
      </w:r>
      <w:r>
        <w:rPr>
          <w:rFonts w:hint="eastAsia" w:ascii="仿宋_GB2312" w:hAnsi="仿宋_GB2312" w:eastAsia="仿宋_GB2312" w:cs="仿宋_GB2312"/>
          <w:kern w:val="0"/>
          <w:sz w:val="32"/>
          <w:szCs w:val="32"/>
        </w:rPr>
        <w:t>个项目开展了部门评价，涉及一般公共预算支出421.44万元，政府性基金支出0万元。从评价情况看，以上项目均按照预算安排支出，对</w:t>
      </w:r>
      <w:r>
        <w:rPr>
          <w:rFonts w:ascii="仿宋_GB2312" w:hAnsi="仿宋_GB2312" w:eastAsia="仿宋_GB2312" w:cs="仿宋_GB2312"/>
          <w:kern w:val="0"/>
          <w:sz w:val="32"/>
          <w:szCs w:val="32"/>
        </w:rPr>
        <w:t>资金产出及其效益进行综合评价和判断，达到</w:t>
      </w:r>
      <w:r>
        <w:rPr>
          <w:rFonts w:hint="eastAsia" w:ascii="仿宋_GB2312" w:hAnsi="仿宋_GB2312" w:eastAsia="仿宋_GB2312" w:cs="仿宋_GB2312"/>
          <w:kern w:val="0"/>
          <w:sz w:val="32"/>
          <w:szCs w:val="32"/>
        </w:rPr>
        <w:t>了</w:t>
      </w:r>
      <w:r>
        <w:rPr>
          <w:rFonts w:ascii="仿宋_GB2312" w:hAnsi="仿宋_GB2312" w:eastAsia="仿宋_GB2312" w:cs="仿宋_GB2312"/>
          <w:kern w:val="0"/>
          <w:sz w:val="32"/>
          <w:szCs w:val="32"/>
        </w:rPr>
        <w:t>科学使用资金，确保</w:t>
      </w:r>
      <w:r>
        <w:rPr>
          <w:rFonts w:hint="eastAsia" w:ascii="仿宋_GB2312" w:hAnsi="仿宋_GB2312" w:eastAsia="仿宋_GB2312" w:cs="仿宋_GB2312"/>
          <w:kern w:val="0"/>
          <w:sz w:val="32"/>
          <w:szCs w:val="32"/>
        </w:rPr>
        <w:t>了</w:t>
      </w:r>
      <w:r>
        <w:rPr>
          <w:rFonts w:ascii="仿宋_GB2312" w:hAnsi="仿宋_GB2312" w:eastAsia="仿宋_GB2312" w:cs="仿宋_GB2312"/>
          <w:kern w:val="0"/>
          <w:sz w:val="32"/>
          <w:szCs w:val="32"/>
        </w:rPr>
        <w:t>资金使用效益</w:t>
      </w:r>
      <w:r>
        <w:rPr>
          <w:rFonts w:hint="eastAsia" w:ascii="仿宋_GB2312" w:hAnsi="仿宋_GB2312" w:eastAsia="仿宋_GB2312" w:cs="仿宋_GB2312"/>
          <w:kern w:val="0"/>
          <w:sz w:val="32"/>
          <w:szCs w:val="32"/>
        </w:rPr>
        <w:t>。</w:t>
      </w:r>
    </w:p>
    <w:bookmarkEnd w:id="1"/>
    <w:p>
      <w:pPr>
        <w:pStyle w:val="30"/>
        <w:widowControl/>
        <w:spacing w:line="580" w:lineRule="exact"/>
        <w:ind w:firstLine="643"/>
        <w:jc w:val="left"/>
        <w:rPr>
          <w:rFonts w:ascii="楷体" w:hAnsi="楷体" w:eastAsia="楷体" w:cs="楷体"/>
          <w:kern w:val="0"/>
          <w:sz w:val="32"/>
          <w:szCs w:val="32"/>
        </w:rPr>
      </w:pPr>
      <w:r>
        <w:rPr>
          <w:rFonts w:ascii="楷体" w:hAnsi="楷体" w:eastAsia="楷体" w:cs="楷体"/>
          <w:kern w:val="0"/>
          <w:sz w:val="32"/>
          <w:szCs w:val="32"/>
        </w:rPr>
        <w:t>（二）部门决算中项目绩效自评结果。</w:t>
      </w:r>
    </w:p>
    <w:p>
      <w:pPr>
        <w:pStyle w:val="31"/>
        <w:widowControl/>
        <w:spacing w:line="580" w:lineRule="exact"/>
        <w:ind w:firstLine="640"/>
        <w:rPr>
          <w:rFonts w:ascii="仿宋_GB2312" w:hAnsi="仿宋_GB2312" w:eastAsia="仿宋_GB2312" w:cs="仿宋_GB2312"/>
          <w:kern w:val="0"/>
          <w:sz w:val="32"/>
          <w:szCs w:val="32"/>
        </w:rPr>
      </w:pPr>
      <w:bookmarkStart w:id="2" w:name="OLE_LINK2"/>
      <w:r>
        <w:rPr>
          <w:rFonts w:hint="eastAsia" w:ascii="仿宋_GB2312" w:hAnsi="仿宋_GB2312" w:eastAsia="仿宋_GB2312" w:cs="仿宋_GB2312"/>
          <w:kern w:val="0"/>
          <w:sz w:val="32"/>
          <w:szCs w:val="32"/>
        </w:rPr>
        <w:t>赤峰市司法局（本级）2025年度在决算中反映“法治建设经费”、“基层司法业务经费”、“普法宣传经费”、“社区矫正工作经费”等8个一般公共预算项目，以及0个政府性基金项目，共8个项目的绩效自评结果。部分项目自评表见附件。</w:t>
      </w:r>
    </w:p>
    <w:bookmarkEnd w:id="2"/>
    <w:p>
      <w:pPr>
        <w:numPr>
          <w:ilvl w:val="0"/>
          <w:numId w:val="0"/>
        </w:numPr>
        <w:spacing w:line="580" w:lineRule="exact"/>
        <w:ind w:firstLine="640" w:firstLineChars="200"/>
        <w:rPr>
          <w:rFonts w:ascii="仿宋_GB2312" w:hAnsi="仿宋_GB2312" w:eastAsia="仿宋_GB2312" w:cs="仿宋_GB2312"/>
          <w:kern w:val="0"/>
          <w:sz w:val="32"/>
          <w:szCs w:val="32"/>
        </w:rPr>
      </w:pPr>
      <w:bookmarkStart w:id="3" w:name="OLE_LINK3"/>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法治建设经费项目自评综述：根据年初设定的绩效目标，项目自评得分</w:t>
      </w:r>
      <w:r>
        <w:rPr>
          <w:rFonts w:hint="eastAsia" w:ascii="仿宋_GB2312" w:hAnsi="仿宋_GB2312" w:eastAsia="仿宋_GB2312" w:cs="仿宋_GB2312"/>
          <w:kern w:val="0"/>
          <w:sz w:val="32"/>
          <w:szCs w:val="32"/>
          <w:lang w:val="en-US" w:eastAsia="zh-CN"/>
        </w:rPr>
        <w:t>9.76</w:t>
      </w:r>
      <w:r>
        <w:rPr>
          <w:rFonts w:hint="eastAsia" w:ascii="仿宋_GB2312" w:hAnsi="仿宋_GB2312" w:eastAsia="仿宋_GB2312" w:cs="仿宋_GB2312"/>
          <w:kern w:val="0"/>
          <w:sz w:val="32"/>
          <w:szCs w:val="32"/>
        </w:rPr>
        <w:t>分。全年预算数为</w:t>
      </w:r>
      <w:r>
        <w:rPr>
          <w:rFonts w:hint="eastAsia" w:ascii="仿宋_GB2312" w:hAnsi="仿宋_GB2312" w:eastAsia="仿宋_GB2312" w:cs="仿宋_GB2312"/>
          <w:kern w:val="0"/>
          <w:sz w:val="32"/>
          <w:szCs w:val="32"/>
          <w:lang w:val="en-US" w:eastAsia="zh-CN"/>
        </w:rPr>
        <w:t>30.31</w:t>
      </w:r>
      <w:r>
        <w:rPr>
          <w:rFonts w:hint="eastAsia" w:ascii="仿宋_GB2312" w:hAnsi="仿宋_GB2312" w:eastAsia="仿宋_GB2312" w:cs="仿宋_GB2312"/>
          <w:kern w:val="0"/>
          <w:sz w:val="32"/>
          <w:szCs w:val="32"/>
        </w:rPr>
        <w:t>万元，执行数为</w:t>
      </w:r>
      <w:r>
        <w:rPr>
          <w:rFonts w:hint="eastAsia" w:ascii="仿宋_GB2312" w:hAnsi="仿宋_GB2312" w:eastAsia="仿宋_GB2312" w:cs="仿宋_GB2312"/>
          <w:kern w:val="0"/>
          <w:sz w:val="32"/>
          <w:szCs w:val="32"/>
          <w:lang w:val="en-US" w:eastAsia="zh-CN"/>
        </w:rPr>
        <w:t>29.59</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lang w:val="en-US" w:eastAsia="zh-CN"/>
        </w:rPr>
        <w:t>97.62</w:t>
      </w:r>
      <w:r>
        <w:rPr>
          <w:rFonts w:hint="eastAsia" w:ascii="仿宋_GB2312" w:hAnsi="仿宋_GB2312" w:eastAsia="仿宋_GB2312" w:cs="仿宋_GB2312"/>
          <w:kern w:val="0"/>
          <w:sz w:val="32"/>
          <w:szCs w:val="32"/>
        </w:rPr>
        <w:t>%。项目绩效目标完成情况：完成全面依法治市、法治政府建设、立法、行政执法监督工作，推进法治建设水平；完成行政复议体制改革，推动行政复议与应诉办案能力。发现的主要问题及原因：年度内法治建设工作培训及会议开展较少，行政复议案件有所减少。下一步改进措施：加强法治建设工作业务培训及行政复议办案能力，持续提高法治建设水平。</w:t>
      </w:r>
    </w:p>
    <w:p>
      <w:pPr>
        <w:numPr>
          <w:ilvl w:val="0"/>
          <w:numId w:val="0"/>
        </w:numPr>
        <w:spacing w:line="580" w:lineRule="exact"/>
        <w:ind w:firstLine="640" w:firstLineChars="200"/>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公共法律服务工作经费项目自评综述：根据年初设定的绩效目标，项目自评得分</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分。全年预算数为</w:t>
      </w:r>
      <w:r>
        <w:rPr>
          <w:rFonts w:hint="eastAsia" w:ascii="仿宋_GB2312" w:hAnsi="仿宋_GB2312" w:eastAsia="仿宋_GB2312" w:cs="仿宋_GB2312"/>
          <w:kern w:val="0"/>
          <w:sz w:val="32"/>
          <w:szCs w:val="32"/>
          <w:lang w:val="en-US" w:eastAsia="zh-CN"/>
        </w:rPr>
        <w:t>13.91</w:t>
      </w:r>
      <w:r>
        <w:rPr>
          <w:rFonts w:hint="eastAsia" w:ascii="仿宋_GB2312" w:hAnsi="仿宋_GB2312" w:eastAsia="仿宋_GB2312" w:cs="仿宋_GB2312"/>
          <w:kern w:val="0"/>
          <w:sz w:val="32"/>
          <w:szCs w:val="32"/>
        </w:rPr>
        <w:t>万元，执行数为13.9</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%。项目绩效目标完成情况：完成法律援助值班律师服务费发放、法律援助案件评查工作，完成公共法律服务工作出差，提高公共法律服务水平。发现的主要问题及原因：</w:t>
      </w:r>
      <w:r>
        <w:rPr>
          <w:rFonts w:hint="eastAsia" w:ascii="仿宋_GB2312" w:hAnsi="仿宋_GB2312" w:eastAsia="仿宋_GB2312" w:cs="仿宋_GB2312"/>
          <w:kern w:val="0"/>
          <w:sz w:val="32"/>
          <w:szCs w:val="32"/>
          <w:lang w:eastAsia="zh-CN"/>
        </w:rPr>
        <w:t>本年预算执行情况良好，无问题</w:t>
      </w:r>
      <w:r>
        <w:rPr>
          <w:rFonts w:hint="eastAsia" w:ascii="仿宋_GB2312" w:hAnsi="仿宋_GB2312" w:eastAsia="仿宋_GB2312" w:cs="仿宋_GB2312"/>
          <w:kern w:val="0"/>
          <w:sz w:val="32"/>
          <w:szCs w:val="32"/>
        </w:rPr>
        <w:t>。下一步</w:t>
      </w:r>
      <w:r>
        <w:rPr>
          <w:rFonts w:hint="eastAsia" w:ascii="仿宋_GB2312" w:hAnsi="仿宋_GB2312" w:eastAsia="仿宋_GB2312" w:cs="仿宋_GB2312"/>
          <w:kern w:val="0"/>
          <w:sz w:val="32"/>
          <w:szCs w:val="32"/>
          <w:lang w:eastAsia="zh-CN"/>
        </w:rPr>
        <w:t>工作</w:t>
      </w:r>
      <w:r>
        <w:rPr>
          <w:rFonts w:hint="eastAsia" w:ascii="仿宋_GB2312" w:hAnsi="仿宋_GB2312" w:eastAsia="仿宋_GB2312" w:cs="仿宋_GB2312"/>
          <w:kern w:val="0"/>
          <w:sz w:val="32"/>
          <w:szCs w:val="32"/>
        </w:rPr>
        <w:t>措施：进一步合理安排预算，强化法律援助评查工作，提高公共法律服务水平。</w:t>
      </w:r>
    </w:p>
    <w:p>
      <w:pPr>
        <w:numPr>
          <w:ilvl w:val="0"/>
          <w:numId w:val="0"/>
        </w:numPr>
        <w:spacing w:line="580" w:lineRule="exact"/>
        <w:ind w:firstLine="640" w:firstLineChars="200"/>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基层司法业务经费项目自评综述：根据年初设定的绩效目标，项目自评得分</w:t>
      </w:r>
      <w:r>
        <w:rPr>
          <w:rFonts w:hint="eastAsia" w:ascii="仿宋_GB2312" w:hAnsi="仿宋_GB2312" w:eastAsia="仿宋_GB2312" w:cs="仿宋_GB2312"/>
          <w:kern w:val="0"/>
          <w:sz w:val="32"/>
          <w:szCs w:val="32"/>
          <w:lang w:val="en-US" w:eastAsia="zh-CN"/>
        </w:rPr>
        <w:t>3.4</w:t>
      </w:r>
      <w:r>
        <w:rPr>
          <w:rFonts w:hint="eastAsia" w:ascii="仿宋_GB2312" w:hAnsi="仿宋_GB2312" w:eastAsia="仿宋_GB2312" w:cs="仿宋_GB2312"/>
          <w:kern w:val="0"/>
          <w:sz w:val="32"/>
          <w:szCs w:val="32"/>
        </w:rPr>
        <w:t>分。全年预算数为</w:t>
      </w:r>
      <w:r>
        <w:rPr>
          <w:rFonts w:hint="eastAsia" w:ascii="仿宋_GB2312" w:hAnsi="仿宋_GB2312" w:eastAsia="仿宋_GB2312" w:cs="仿宋_GB2312"/>
          <w:kern w:val="0"/>
          <w:sz w:val="32"/>
          <w:szCs w:val="32"/>
          <w:lang w:val="en-US" w:eastAsia="zh-CN"/>
        </w:rPr>
        <w:t>41.12</w:t>
      </w:r>
      <w:r>
        <w:rPr>
          <w:rFonts w:hint="eastAsia" w:ascii="仿宋_GB2312" w:hAnsi="仿宋_GB2312" w:eastAsia="仿宋_GB2312" w:cs="仿宋_GB2312"/>
          <w:kern w:val="0"/>
          <w:sz w:val="32"/>
          <w:szCs w:val="32"/>
        </w:rPr>
        <w:t>万元，执行数为</w:t>
      </w:r>
      <w:r>
        <w:rPr>
          <w:rFonts w:hint="eastAsia" w:ascii="仿宋_GB2312" w:hAnsi="仿宋_GB2312" w:eastAsia="仿宋_GB2312" w:cs="仿宋_GB2312"/>
          <w:kern w:val="0"/>
          <w:sz w:val="32"/>
          <w:szCs w:val="32"/>
          <w:lang w:val="en-US" w:eastAsia="zh-CN"/>
        </w:rPr>
        <w:t>13.99</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lang w:val="en-US" w:eastAsia="zh-CN"/>
        </w:rPr>
        <w:t>34.02</w:t>
      </w:r>
      <w:r>
        <w:rPr>
          <w:rFonts w:hint="eastAsia" w:ascii="仿宋_GB2312" w:hAnsi="仿宋_GB2312" w:eastAsia="仿宋_GB2312" w:cs="仿宋_GB2312"/>
          <w:kern w:val="0"/>
          <w:sz w:val="32"/>
          <w:szCs w:val="32"/>
        </w:rPr>
        <w:t>%。项目绩效目标完成情况：完成基层司法业务培训，提升业务能力；完成人民调解员调解案件补贴发放，保障矛盾纠纷调解工作；完成基层司法业务工作出差，提升基层司法业务工作水平。发现的主要问题及原因：年度内人民调解案件及人民监督员履职评议尚未审核完成，导致本年人民调解案件补贴和人民监督员履职评议费尚未完成支付。下一步改进措施：加强基层司法业务培训，加强调解案件办案费保障能力，加快人民调解案件及人民监督员履职评议审核工作。</w:t>
      </w:r>
    </w:p>
    <w:p>
      <w:pPr>
        <w:numPr>
          <w:ilvl w:val="0"/>
          <w:numId w:val="0"/>
        </w:numPr>
        <w:spacing w:line="580" w:lineRule="exact"/>
        <w:ind w:firstLine="640" w:firstLineChars="200"/>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普法宣传经费项目自评综述：根据年初设定的绩效目标，项目自评得分</w:t>
      </w:r>
      <w:r>
        <w:rPr>
          <w:rFonts w:hint="eastAsia" w:ascii="仿宋_GB2312" w:hAnsi="仿宋_GB2312" w:eastAsia="仿宋_GB2312" w:cs="仿宋_GB2312"/>
          <w:kern w:val="0"/>
          <w:sz w:val="32"/>
          <w:szCs w:val="32"/>
          <w:lang w:val="en-US" w:eastAsia="zh-CN"/>
        </w:rPr>
        <w:t>1.42</w:t>
      </w:r>
      <w:r>
        <w:rPr>
          <w:rFonts w:hint="eastAsia" w:ascii="仿宋_GB2312" w:hAnsi="仿宋_GB2312" w:eastAsia="仿宋_GB2312" w:cs="仿宋_GB2312"/>
          <w:kern w:val="0"/>
          <w:sz w:val="32"/>
          <w:szCs w:val="32"/>
        </w:rPr>
        <w:t>分。全年预算数为</w:t>
      </w:r>
      <w:r>
        <w:rPr>
          <w:rFonts w:hint="eastAsia" w:ascii="仿宋_GB2312" w:hAnsi="仿宋_GB2312" w:eastAsia="仿宋_GB2312" w:cs="仿宋_GB2312"/>
          <w:kern w:val="0"/>
          <w:sz w:val="32"/>
          <w:szCs w:val="32"/>
          <w:lang w:val="en-US" w:eastAsia="zh-CN"/>
        </w:rPr>
        <w:t>50.23</w:t>
      </w:r>
      <w:r>
        <w:rPr>
          <w:rFonts w:hint="eastAsia" w:ascii="仿宋_GB2312" w:hAnsi="仿宋_GB2312" w:eastAsia="仿宋_GB2312" w:cs="仿宋_GB2312"/>
          <w:kern w:val="0"/>
          <w:sz w:val="32"/>
          <w:szCs w:val="32"/>
        </w:rPr>
        <w:t>万元，执行数为</w:t>
      </w:r>
      <w:r>
        <w:rPr>
          <w:rFonts w:hint="eastAsia" w:ascii="仿宋_GB2312" w:hAnsi="仿宋_GB2312" w:eastAsia="仿宋_GB2312" w:cs="仿宋_GB2312"/>
          <w:kern w:val="0"/>
          <w:sz w:val="32"/>
          <w:szCs w:val="32"/>
          <w:lang w:val="en-US" w:eastAsia="zh-CN"/>
        </w:rPr>
        <w:t>7.12</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lang w:val="en-US" w:eastAsia="zh-CN"/>
        </w:rPr>
        <w:t>14.17</w:t>
      </w:r>
      <w:r>
        <w:rPr>
          <w:rFonts w:hint="eastAsia" w:ascii="仿宋_GB2312" w:hAnsi="仿宋_GB2312" w:eastAsia="仿宋_GB2312" w:cs="仿宋_GB2312"/>
          <w:kern w:val="0"/>
          <w:sz w:val="32"/>
          <w:szCs w:val="32"/>
        </w:rPr>
        <w:t>%。项目绩效目标完成情况：完成了年度普法宣传工作任务，完成了“八五”普法宣传、督导等各项工作任务，有效提高了普法依法治理能力。发现的主要问题及原因：</w:t>
      </w:r>
      <w:r>
        <w:rPr>
          <w:rFonts w:hint="eastAsia" w:ascii="Times New Roman Regular" w:hAnsi="Times New Roman Regular" w:eastAsia="仿宋" w:cs="Times New Roman Regular"/>
          <w:sz w:val="32"/>
          <w:szCs w:val="32"/>
        </w:rPr>
        <w:t>本年度部门宣传活动未开展</w:t>
      </w:r>
      <w:r>
        <w:rPr>
          <w:rFonts w:hint="eastAsia" w:ascii="仿宋_GB2312" w:hAnsi="仿宋_GB2312" w:eastAsia="仿宋_GB2312" w:cs="仿宋_GB2312"/>
          <w:kern w:val="0"/>
          <w:sz w:val="32"/>
          <w:szCs w:val="32"/>
        </w:rPr>
        <w:t>。下一步改进措施：</w:t>
      </w:r>
      <w:r>
        <w:rPr>
          <w:rFonts w:hint="eastAsia" w:ascii="Times New Roman Regular" w:hAnsi="Times New Roman Regular" w:eastAsia="仿宋" w:cs="Times New Roman Regular"/>
          <w:sz w:val="32"/>
          <w:szCs w:val="32"/>
        </w:rPr>
        <w:t>进一步强化普法宣传工作，加大宣传力度。</w:t>
      </w:r>
    </w:p>
    <w:p>
      <w:pPr>
        <w:numPr>
          <w:ilvl w:val="0"/>
          <w:numId w:val="0"/>
        </w:num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社区矫正工作经费项目自评综述：根据年初设定的绩效目标，项目自评得分</w:t>
      </w:r>
      <w:r>
        <w:rPr>
          <w:rFonts w:hint="eastAsia" w:ascii="仿宋_GB2312" w:hAnsi="仿宋_GB2312" w:eastAsia="仿宋_GB2312" w:cs="仿宋_GB2312"/>
          <w:kern w:val="0"/>
          <w:sz w:val="32"/>
          <w:szCs w:val="32"/>
          <w:lang w:val="en-US" w:eastAsia="zh-CN"/>
        </w:rPr>
        <w:t>1.25</w:t>
      </w:r>
      <w:r>
        <w:rPr>
          <w:rFonts w:hint="eastAsia" w:ascii="仿宋_GB2312" w:hAnsi="仿宋_GB2312" w:eastAsia="仿宋_GB2312" w:cs="仿宋_GB2312"/>
          <w:kern w:val="0"/>
          <w:sz w:val="32"/>
          <w:szCs w:val="32"/>
        </w:rPr>
        <w:t>分。全年预算数为</w:t>
      </w:r>
      <w:r>
        <w:rPr>
          <w:rFonts w:hint="eastAsia" w:ascii="仿宋_GB2312" w:hAnsi="仿宋_GB2312" w:eastAsia="仿宋_GB2312" w:cs="仿宋_GB2312"/>
          <w:kern w:val="0"/>
          <w:sz w:val="32"/>
          <w:szCs w:val="32"/>
          <w:lang w:val="en-US" w:eastAsia="zh-CN"/>
        </w:rPr>
        <w:t>9.3</w:t>
      </w:r>
      <w:r>
        <w:rPr>
          <w:rFonts w:hint="eastAsia" w:ascii="仿宋_GB2312" w:hAnsi="仿宋_GB2312" w:eastAsia="仿宋_GB2312" w:cs="仿宋_GB2312"/>
          <w:kern w:val="0"/>
          <w:sz w:val="32"/>
          <w:szCs w:val="32"/>
        </w:rPr>
        <w:t>万元，执行数为</w:t>
      </w:r>
      <w:r>
        <w:rPr>
          <w:rFonts w:hint="eastAsia" w:ascii="仿宋_GB2312" w:hAnsi="仿宋_GB2312" w:eastAsia="仿宋_GB2312" w:cs="仿宋_GB2312"/>
          <w:kern w:val="0"/>
          <w:sz w:val="32"/>
          <w:szCs w:val="32"/>
          <w:lang w:val="en-US" w:eastAsia="zh-CN"/>
        </w:rPr>
        <w:t>1.16</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lang w:val="en-US" w:eastAsia="zh-CN"/>
        </w:rPr>
        <w:t>12.47</w:t>
      </w:r>
      <w:r>
        <w:rPr>
          <w:rFonts w:hint="eastAsia" w:ascii="仿宋_GB2312" w:hAnsi="仿宋_GB2312" w:eastAsia="仿宋_GB2312" w:cs="仿宋_GB2312"/>
          <w:kern w:val="0"/>
          <w:sz w:val="32"/>
          <w:szCs w:val="32"/>
        </w:rPr>
        <w:t>%。项目绩效目标完成情况：完成《社区矫正法》和《社区矫正实施办法》宣传，提高社区矫正管理水平；完成全市社区矫正人员培训，提升工作人员业务能力。发现的主要问题及原因：由于上年度结转了该项目指标，本年度指标未全使用。下一步改进措施：进一步合理安排预算，加强全市社区矫正人员培训，提升工作人员业务能力。</w:t>
      </w:r>
    </w:p>
    <w:bookmarkEnd w:id="3"/>
    <w:p>
      <w:pPr>
        <w:pStyle w:val="30"/>
        <w:widowControl/>
        <w:numPr>
          <w:ilvl w:val="0"/>
          <w:numId w:val="11"/>
        </w:numPr>
        <w:spacing w:line="580" w:lineRule="exact"/>
        <w:ind w:firstLine="643"/>
        <w:jc w:val="left"/>
        <w:rPr>
          <w:rFonts w:ascii="楷体" w:hAnsi="楷体" w:eastAsia="楷体" w:cs="楷体"/>
          <w:kern w:val="0"/>
          <w:sz w:val="32"/>
          <w:szCs w:val="32"/>
        </w:rPr>
      </w:pPr>
      <w:r>
        <w:rPr>
          <w:rFonts w:ascii="楷体" w:hAnsi="楷体" w:eastAsia="楷体" w:cs="楷体"/>
          <w:kern w:val="0"/>
          <w:sz w:val="32"/>
          <w:szCs w:val="32"/>
        </w:rPr>
        <w:t>部门项目绩效评价结果。</w:t>
      </w:r>
    </w:p>
    <w:p>
      <w:pPr>
        <w:pStyle w:val="30"/>
        <w:widowControl/>
        <w:spacing w:line="580" w:lineRule="exact"/>
        <w:ind w:firstLine="640" w:firstLineChars="200"/>
        <w:rPr>
          <w:rFonts w:ascii="仿宋_GB2312" w:hAnsi="仿宋_GB2312" w:eastAsia="仿宋_GB2312" w:cs="仿宋_GB2312"/>
          <w:kern w:val="0"/>
          <w:sz w:val="32"/>
          <w:szCs w:val="32"/>
        </w:rPr>
      </w:pPr>
      <w:bookmarkStart w:id="4" w:name="OLE_LINK4"/>
      <w:r>
        <w:rPr>
          <w:rFonts w:hint="eastAsia" w:ascii="仿宋_GB2312" w:hAnsi="仿宋_GB2312" w:eastAsia="仿宋_GB2312" w:cs="仿宋_GB2312"/>
          <w:kern w:val="0"/>
          <w:sz w:val="32"/>
          <w:szCs w:val="32"/>
        </w:rPr>
        <w:t>以公共法律服务工作经费项目为例，该项目绩效评价综合得分为</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分，绩效评价结果为“</w:t>
      </w:r>
      <w:r>
        <w:rPr>
          <w:rFonts w:hint="eastAsia" w:ascii="仿宋_GB2312" w:hAnsi="仿宋_GB2312" w:eastAsia="仿宋_GB2312" w:cs="仿宋_GB2312"/>
          <w:kern w:val="0"/>
          <w:sz w:val="32"/>
          <w:szCs w:val="32"/>
          <w:lang w:eastAsia="zh-CN"/>
        </w:rPr>
        <w:t>好</w:t>
      </w:r>
      <w:r>
        <w:rPr>
          <w:rFonts w:hint="eastAsia" w:ascii="仿宋_GB2312" w:hAnsi="仿宋_GB2312" w:eastAsia="仿宋_GB2312" w:cs="仿宋_GB2312"/>
          <w:kern w:val="0"/>
          <w:sz w:val="32"/>
          <w:szCs w:val="32"/>
        </w:rPr>
        <w:t>”。公共法律服务工作经费项目部门评价报告见附件。﻿</w:t>
      </w:r>
    </w:p>
    <w:bookmarkEnd w:id="4"/>
    <w:p>
      <w:pPr>
        <w:pStyle w:val="5"/>
        <w:keepNext w:val="0"/>
        <w:keepLines w:val="0"/>
        <w:widowControl/>
        <w:spacing w:before="0" w:after="0" w:line="580" w:lineRule="exact"/>
        <w:jc w:val="center"/>
        <w:rPr>
          <w:rFonts w:ascii="方正小标宋简体" w:hAnsi="方正小标宋简体" w:eastAsia="方正小标宋简体" w:cs="方正小标宋简体"/>
          <w:b w:val="0"/>
          <w:bCs w:val="0"/>
          <w:kern w:val="0"/>
          <w:sz w:val="36"/>
          <w:szCs w:val="36"/>
        </w:rPr>
      </w:pPr>
    </w:p>
    <w:p>
      <w:pPr>
        <w:pStyle w:val="5"/>
        <w:keepNext w:val="0"/>
        <w:keepLines w:val="0"/>
        <w:widowControl/>
        <w:spacing w:before="0" w:after="0" w:line="580" w:lineRule="exact"/>
        <w:jc w:val="center"/>
        <w:rPr>
          <w:rFonts w:ascii="方正小标宋简体" w:hAnsi="方正小标宋简体" w:eastAsia="方正小标宋简体" w:cs="方正小标宋简体"/>
          <w:b w:val="0"/>
          <w:bCs w:val="0"/>
          <w:kern w:val="0"/>
          <w:sz w:val="36"/>
          <w:szCs w:val="36"/>
        </w:rPr>
      </w:pPr>
      <w:r>
        <w:rPr>
          <w:rFonts w:hint="eastAsia" w:ascii="方正小标宋简体" w:hAnsi="方正小标宋简体" w:eastAsia="方正小标宋简体" w:cs="方正小标宋简体"/>
          <w:b w:val="0"/>
          <w:bCs w:val="0"/>
          <w:kern w:val="0"/>
          <w:sz w:val="36"/>
          <w:szCs w:val="36"/>
        </w:rPr>
        <w:t>第三部分  名词解释</w:t>
      </w:r>
    </w:p>
    <w:p>
      <w:pPr>
        <w:widowControl/>
        <w:spacing w:line="580" w:lineRule="exact"/>
        <w:ind w:firstLine="640" w:firstLineChars="200"/>
        <w:jc w:val="left"/>
        <w:rPr>
          <w:rFonts w:ascii="黑体" w:hAnsi="黑体" w:eastAsia="黑体" w:cs="黑体"/>
          <w:kern w:val="0"/>
          <w:sz w:val="32"/>
          <w:szCs w:val="32"/>
        </w:rPr>
      </w:pP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一、财政拨款收入：</w:t>
      </w:r>
      <w:r>
        <w:rPr>
          <w:rFonts w:hint="eastAsia" w:ascii="仿宋_GB2312" w:hAnsi="仿宋_GB2312" w:eastAsia="仿宋_GB2312" w:cs="仿宋_GB2312"/>
          <w:kern w:val="0"/>
          <w:sz w:val="32"/>
          <w:szCs w:val="32"/>
        </w:rPr>
        <w:t>从同级财政部门取得的各类财政拨款，包括一般公共预算财政拨款、政府性基金预算财政拨款、国有资本经营预算财政拨款。</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二、上级补助收入：</w:t>
      </w:r>
      <w:r>
        <w:rPr>
          <w:rFonts w:hint="eastAsia" w:ascii="仿宋_GB2312" w:hAnsi="仿宋_GB2312" w:eastAsia="仿宋_GB2312" w:cs="仿宋_GB2312"/>
          <w:kern w:val="0"/>
          <w:sz w:val="32"/>
          <w:szCs w:val="32"/>
        </w:rPr>
        <w:t>指事业单位从主管部门和上级单位取得的非财政补助收入。</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三、财政专户管理教育收费：</w:t>
      </w:r>
      <w:r>
        <w:rPr>
          <w:rFonts w:hint="eastAsia" w:ascii="仿宋_GB2312" w:hAnsi="仿宋_GB2312" w:eastAsia="仿宋_GB2312" w:cs="仿宋_GB2312"/>
          <w:kern w:val="0"/>
          <w:sz w:val="32"/>
          <w:szCs w:val="32"/>
        </w:rPr>
        <w:t>指缴入财政专户、实行专项管理的高中以上学费、住宿费、高校委托培养费、函大、电大、夜大及短训班培训费等教育收费。</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四、事业收入：</w:t>
      </w:r>
      <w:r>
        <w:rPr>
          <w:rFonts w:hint="eastAsia" w:ascii="仿宋_GB2312" w:hAnsi="仿宋_GB2312" w:eastAsia="仿宋_GB2312" w:cs="仿宋_GB2312"/>
          <w:kern w:val="0"/>
          <w:sz w:val="32"/>
          <w:szCs w:val="32"/>
        </w:rPr>
        <w:t>指事业单位开展专业业务活动及其辅助活动取得的收入。</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五、经营收入：</w:t>
      </w:r>
      <w:r>
        <w:rPr>
          <w:rFonts w:hint="eastAsia" w:ascii="仿宋_GB2312" w:hAnsi="仿宋_GB2312" w:eastAsia="仿宋_GB2312" w:cs="仿宋_GB2312"/>
          <w:kern w:val="0"/>
          <w:sz w:val="32"/>
          <w:szCs w:val="32"/>
        </w:rPr>
        <w:t>指事业单位在专业业务活动及其辅助活动之外开展非独立核算经营活动取得的收入。</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六、附属单位上缴收入：</w:t>
      </w:r>
      <w:r>
        <w:rPr>
          <w:rFonts w:hint="eastAsia" w:ascii="仿宋_GB2312" w:hAnsi="仿宋_GB2312" w:eastAsia="仿宋_GB2312" w:cs="仿宋_GB2312"/>
          <w:kern w:val="0"/>
          <w:sz w:val="32"/>
          <w:szCs w:val="32"/>
        </w:rPr>
        <w:t>指事业单位取得附属独立核算单位按照有关规定上缴的收入。</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七、其他收入：</w:t>
      </w:r>
      <w:r>
        <w:rPr>
          <w:rFonts w:hint="eastAsia" w:ascii="仿宋_GB2312" w:hAnsi="仿宋_GB2312" w:eastAsia="仿宋_GB2312" w:cs="仿宋_GB2312"/>
          <w:kern w:val="0"/>
          <w:sz w:val="32"/>
          <w:szCs w:val="32"/>
        </w:rPr>
        <w:t>取得的除上述“财政拨款收入”、“上级补助收入”、“事业收入”、“经营收入”、“附属单位上缴收入”等以外的各项收入。</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 八、使用非财政拨款结余和专用结余：</w:t>
      </w:r>
      <w:r>
        <w:rPr>
          <w:rFonts w:hint="eastAsia" w:ascii="仿宋_GB2312" w:hAnsi="仿宋_GB2312" w:eastAsia="仿宋_GB2312" w:cs="仿宋_GB2312"/>
          <w:kern w:val="0"/>
          <w:sz w:val="32"/>
          <w:szCs w:val="32"/>
        </w:rPr>
        <w:t>指事业单位按照预算管理要求使用非财政拨款结余和专用结余弥补当年收支差额的数额。</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九、年初结转和结余：</w:t>
      </w:r>
      <w:r>
        <w:rPr>
          <w:rFonts w:hint="eastAsia" w:ascii="仿宋_GB2312" w:hAnsi="仿宋_GB2312" w:eastAsia="仿宋_GB2312" w:cs="仿宋_GB2312"/>
          <w:kern w:val="0"/>
          <w:sz w:val="32"/>
          <w:szCs w:val="32"/>
        </w:rPr>
        <w:t>指单位上年结转本年使用的基本支出结转、项目支出结转和结余、经营结余。</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十、结余分配：</w:t>
      </w:r>
      <w:r>
        <w:rPr>
          <w:rFonts w:hint="eastAsia" w:ascii="仿宋_GB2312" w:hAnsi="仿宋_GB2312" w:eastAsia="仿宋_GB2312" w:cs="仿宋_GB2312"/>
          <w:kern w:val="0"/>
          <w:sz w:val="32"/>
          <w:szCs w:val="32"/>
        </w:rPr>
        <w:t>指事业单位按规定缴纳企业所得税以及从非财政拨款结余或经营结余中提取各类结余的情况。</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 十一、年末结转和结余资金：</w:t>
      </w:r>
      <w:r>
        <w:rPr>
          <w:rFonts w:hint="eastAsia" w:ascii="仿宋_GB2312" w:hAnsi="仿宋_GB2312" w:eastAsia="仿宋_GB2312" w:cs="仿宋_GB2312"/>
          <w:kern w:val="0"/>
          <w:sz w:val="32"/>
          <w:szCs w:val="32"/>
        </w:rPr>
        <w:t>指单位结转下年的基本支出结转、项目支出结转和结余、经营结余。</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十二、基本支出：</w:t>
      </w:r>
      <w:r>
        <w:rPr>
          <w:rFonts w:hint="eastAsia" w:ascii="仿宋_GB2312" w:hAnsi="仿宋_GB2312" w:eastAsia="仿宋_GB2312" w:cs="仿宋_GB2312"/>
          <w:kern w:val="0"/>
          <w:sz w:val="32"/>
          <w:szCs w:val="32"/>
        </w:rPr>
        <w:t>指为保障机构正常运转、完成日常工作任务所发生的支出，包括人员经费和公用经费。</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十三、项目支出：</w:t>
      </w:r>
      <w:r>
        <w:rPr>
          <w:rFonts w:hint="eastAsia" w:ascii="仿宋_GB2312" w:hAnsi="仿宋_GB2312" w:eastAsia="仿宋_GB2312" w:cs="仿宋_GB2312"/>
          <w:kern w:val="0"/>
          <w:sz w:val="32"/>
          <w:szCs w:val="32"/>
        </w:rPr>
        <w:t>指在为完成特定的工作任务和事业发展目标所发生的支出。</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十四、上缴上级支出：</w:t>
      </w:r>
      <w:r>
        <w:rPr>
          <w:rFonts w:hint="eastAsia" w:ascii="仿宋_GB2312" w:hAnsi="仿宋_GB2312" w:eastAsia="仿宋_GB2312" w:cs="仿宋_GB2312"/>
          <w:kern w:val="0"/>
          <w:sz w:val="32"/>
          <w:szCs w:val="32"/>
        </w:rPr>
        <w:t>指事业单位按照财政部门和主管部门的规定上缴上级单位的支出。</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十五、经营支出：</w:t>
      </w:r>
      <w:r>
        <w:rPr>
          <w:rFonts w:hint="eastAsia" w:ascii="仿宋_GB2312" w:hAnsi="仿宋_GB2312" w:eastAsia="仿宋_GB2312" w:cs="仿宋_GB2312"/>
          <w:kern w:val="0"/>
          <w:sz w:val="32"/>
          <w:szCs w:val="32"/>
        </w:rPr>
        <w:t>指事业单位在专业业务活动及其辅助活动之外开展非独立核算经营活动发生的支出。</w:t>
      </w:r>
    </w:p>
    <w:p>
      <w:pPr>
        <w:widowControl/>
        <w:spacing w:line="580" w:lineRule="exact"/>
        <w:ind w:firstLine="640" w:firstLineChars="200"/>
        <w:jc w:val="left"/>
        <w:rPr>
          <w:rFonts w:ascii="仿宋_GB2312" w:hAnsi="仿宋_GB2312" w:eastAsia="仿宋_GB2312" w:cs="仿宋_GB2312"/>
          <w:kern w:val="0"/>
          <w:sz w:val="32"/>
          <w:szCs w:val="32"/>
        </w:rPr>
      </w:pPr>
      <w:r>
        <w:rPr>
          <w:rFonts w:hint="eastAsia" w:ascii="黑体" w:hAnsi="黑体" w:eastAsia="黑体" w:cs="黑体"/>
          <w:kern w:val="0"/>
          <w:sz w:val="32"/>
          <w:szCs w:val="32"/>
        </w:rPr>
        <w:t>十六、对附属单位补助支出：</w:t>
      </w:r>
      <w:r>
        <w:rPr>
          <w:rFonts w:hint="eastAsia" w:ascii="仿宋_GB2312" w:hAnsi="仿宋_GB2312" w:eastAsia="仿宋_GB2312" w:cs="仿宋_GB2312"/>
          <w:kern w:val="0"/>
          <w:sz w:val="32"/>
          <w:szCs w:val="32"/>
        </w:rPr>
        <w:t>指事业单位用财政拨款收入之外的收入对附属单位补助发生的支出。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rPr>
      </w:pPr>
      <w:r>
        <w:rPr>
          <w:rFonts w:hint="eastAsia" w:ascii="黑体" w:hAnsi="黑体" w:eastAsia="黑体" w:cs="黑体"/>
          <w:kern w:val="0"/>
          <w:sz w:val="32"/>
          <w:szCs w:val="32"/>
        </w:rPr>
        <w:t>十七、“三公”经费：</w:t>
      </w:r>
      <w:r>
        <w:rPr>
          <w:rFonts w:hint="eastAsia" w:ascii="仿宋_GB2312" w:hAnsi="仿宋_GB2312" w:eastAsia="仿宋_GB2312" w:cs="仿宋_GB2312"/>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rPr>
      </w:pPr>
      <w:r>
        <w:rPr>
          <w:rFonts w:hint="eastAsia" w:ascii="黑体" w:hAnsi="黑体" w:eastAsia="黑体" w:cs="黑体"/>
          <w:kern w:val="0"/>
          <w:sz w:val="32"/>
          <w:szCs w:val="32"/>
        </w:rPr>
        <w:t>十八、机构运行经费：</w:t>
      </w:r>
      <w:r>
        <w:rPr>
          <w:rFonts w:hint="eastAsia" w:ascii="仿宋_GB2312" w:hAnsi="仿宋_GB2312" w:eastAsia="仿宋_GB2312" w:cs="仿宋_GB2312"/>
          <w:kern w:val="0"/>
          <w:sz w:val="32"/>
          <w:szCs w:val="32"/>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rPr>
      </w:pPr>
    </w:p>
    <w:p>
      <w:pPr>
        <w:pStyle w:val="5"/>
        <w:keepNext w:val="0"/>
        <w:keepLines w:val="0"/>
        <w:pageBreakBefore w:val="0"/>
        <w:widowControl/>
        <w:kinsoku/>
        <w:wordWrap/>
        <w:overflowPunct/>
        <w:topLinePunct w:val="0"/>
        <w:autoSpaceDE/>
        <w:autoSpaceDN/>
        <w:bidi w:val="0"/>
        <w:adjustRightInd/>
        <w:snapToGrid/>
        <w:spacing w:before="0" w:after="0" w:line="560" w:lineRule="exact"/>
        <w:jc w:val="center"/>
        <w:textAlignment w:val="auto"/>
        <w:rPr>
          <w:rFonts w:ascii="方正小标宋简体" w:hAnsi="方正小标宋简体" w:eastAsia="方正小标宋简体" w:cs="方正小标宋简体"/>
          <w:b w:val="0"/>
          <w:bCs w:val="0"/>
          <w:kern w:val="0"/>
          <w:sz w:val="36"/>
          <w:szCs w:val="36"/>
        </w:rPr>
      </w:pPr>
      <w:r>
        <w:rPr>
          <w:rFonts w:hint="eastAsia" w:ascii="方正小标宋简体" w:hAnsi="方正小标宋简体" w:eastAsia="方正小标宋简体" w:cs="方正小标宋简体"/>
          <w:b w:val="0"/>
          <w:bCs w:val="0"/>
          <w:kern w:val="0"/>
          <w:sz w:val="36"/>
          <w:szCs w:val="36"/>
        </w:rPr>
        <w:t>第四部分 决算公开联系方式及信息反馈渠道</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本单位决算公开信息反馈和联系方式：</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联系人：廉岸琦          联系电话：0476-5680089</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rPr>
      </w:pPr>
    </w:p>
    <w:p>
      <w:pPr>
        <w:pStyle w:val="5"/>
        <w:keepNext w:val="0"/>
        <w:keepLines w:val="0"/>
        <w:pageBreakBefore w:val="0"/>
        <w:widowControl/>
        <w:kinsoku/>
        <w:wordWrap/>
        <w:overflowPunct/>
        <w:topLinePunct w:val="0"/>
        <w:autoSpaceDE/>
        <w:autoSpaceDN/>
        <w:bidi w:val="0"/>
        <w:adjustRightInd/>
        <w:snapToGrid/>
        <w:spacing w:before="0" w:after="0" w:line="560" w:lineRule="exact"/>
        <w:jc w:val="center"/>
        <w:textAlignment w:val="auto"/>
        <w:rPr>
          <w:rFonts w:ascii="方正小标宋简体" w:hAnsi="方正小标宋简体" w:eastAsia="方正小标宋简体" w:cs="方正小标宋简体"/>
          <w:b w:val="0"/>
          <w:bCs w:val="0"/>
          <w:kern w:val="0"/>
          <w:sz w:val="36"/>
          <w:szCs w:val="36"/>
        </w:rPr>
      </w:pPr>
      <w:r>
        <w:rPr>
          <w:rFonts w:hint="eastAsia" w:ascii="方正小标宋简体" w:hAnsi="方正小标宋简体" w:eastAsia="方正小标宋简体" w:cs="方正小标宋简体"/>
          <w:b w:val="0"/>
          <w:bCs w:val="0"/>
          <w:kern w:val="0"/>
          <w:sz w:val="36"/>
          <w:szCs w:val="36"/>
        </w:rPr>
        <w:t>第五部分 单位决算表</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fang_song_gb2312" w:hAnsi="fang_song_gb2312" w:eastAsia="fang_song_gb2312" w:cs="fang_song_gb2312"/>
          <w:kern w:val="0"/>
          <w:sz w:val="27"/>
          <w:szCs w:val="27"/>
        </w:rPr>
      </w:pPr>
      <w:r>
        <w:rPr>
          <w:rFonts w:hint="eastAsia" w:ascii="仿宋_GB2312" w:hAnsi="仿宋_GB2312" w:eastAsia="仿宋_GB2312" w:cs="仿宋_GB2312"/>
          <w:kern w:val="0"/>
          <w:sz w:val="32"/>
          <w:szCs w:val="32"/>
        </w:rPr>
        <w:t>见附件。</w:t>
      </w:r>
    </w:p>
    <w:p>
      <w:pPr>
        <w:widowControl/>
        <w:spacing w:before="240" w:after="240" w:line="580" w:lineRule="exact"/>
        <w:rPr>
          <w:rFonts w:eastAsia="Times New Roman"/>
          <w:kern w:val="0"/>
          <w:sz w:val="24"/>
        </w:rPr>
      </w:pPr>
    </w:p>
    <w:p>
      <w:pPr>
        <w:widowControl/>
        <w:spacing w:before="240" w:after="240" w:line="580" w:lineRule="exact"/>
        <w:rPr>
          <w:rFonts w:eastAsia="Times New Roman"/>
          <w:kern w:val="0"/>
          <w:sz w:val="24"/>
        </w:rPr>
      </w:pPr>
    </w:p>
    <w:p>
      <w:pPr>
        <w:widowControl/>
        <w:spacing w:before="240" w:after="240" w:line="580" w:lineRule="exact"/>
        <w:rPr>
          <w:rFonts w:eastAsia="Times New Roman"/>
          <w:kern w:val="0"/>
          <w:sz w:val="24"/>
        </w:rPr>
      </w:pPr>
    </w:p>
    <w:p>
      <w:pPr>
        <w:widowControl/>
        <w:spacing w:before="240" w:after="240" w:line="580" w:lineRule="exact"/>
        <w:rPr>
          <w:rFonts w:eastAsia="Times New Roman"/>
          <w:kern w:val="0"/>
          <w:sz w:val="24"/>
        </w:rPr>
      </w:pPr>
    </w:p>
    <w:bookmarkEnd w:id="0"/>
    <w:p>
      <w:pPr>
        <w:adjustRightInd w:val="0"/>
        <w:snapToGrid w:val="0"/>
        <w:spacing w:line="580" w:lineRule="exact"/>
        <w:rPr>
          <w:rFonts w:ascii="宋体" w:hAnsi="宋体"/>
          <w:b/>
          <w:sz w:val="32"/>
          <w:szCs w:val="32"/>
        </w:rPr>
      </w:pPr>
    </w:p>
    <w:p>
      <w:pPr>
        <w:adjustRightInd w:val="0"/>
        <w:snapToGrid w:val="0"/>
        <w:spacing w:line="580" w:lineRule="exact"/>
        <w:rPr>
          <w:rFonts w:ascii="宋体" w:hAnsi="宋体"/>
          <w:b/>
          <w:sz w:val="32"/>
          <w:szCs w:val="32"/>
        </w:rPr>
      </w:pPr>
    </w:p>
    <w:p>
      <w:pPr>
        <w:tabs>
          <w:tab w:val="left" w:pos="8415"/>
        </w:tabs>
        <w:spacing w:line="580" w:lineRule="exact"/>
      </w:pPr>
    </w:p>
    <w:sectPr>
      <w:footerReference r:id="rId3" w:type="default"/>
      <w:pgSz w:w="11906" w:h="16838"/>
      <w:pgMar w:top="2098" w:right="1474" w:bottom="1701" w:left="1474" w:header="0" w:footer="72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仿宋_GB2312">
    <w:altName w:val="方正仿宋_GBK"/>
    <w:panose1 w:val="00000000000000000000"/>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times_new_roman">
    <w:altName w:val="华文仿宋"/>
    <w:panose1 w:val="00000000000000000000"/>
    <w:charset w:val="00"/>
    <w:family w:val="auto"/>
    <w:pitch w:val="default"/>
    <w:sig w:usb0="00000000" w:usb1="00000000" w:usb2="00000000" w:usb3="00000000" w:csb0="00000000" w:csb1="00000000"/>
  </w:font>
  <w:font w:name="楷体">
    <w:altName w:val="方正楷体_GBK"/>
    <w:panose1 w:val="02010609060101010101"/>
    <w:charset w:val="86"/>
    <w:family w:val="modern"/>
    <w:pitch w:val="default"/>
    <w:sig w:usb0="00000000" w:usb1="00000000" w:usb2="00000016" w:usb3="00000000" w:csb0="00040001" w:csb1="00000000"/>
  </w:font>
  <w:font w:name="fang_song_gb2312">
    <w:altName w:val="华文仿宋"/>
    <w:panose1 w:val="00000000000000000000"/>
    <w:charset w:val="00"/>
    <w:family w:val="auto"/>
    <w:pitch w:val="default"/>
    <w:sig w:usb0="00000000" w:usb1="00000000" w:usb2="00000000" w:usb3="00000000" w:csb0="00000000" w:csb1="00000000"/>
  </w:font>
  <w:font w:name="CESI仿宋-GB18030">
    <w:panose1 w:val="02000500000000000000"/>
    <w:charset w:val="86"/>
    <w:family w:val="auto"/>
    <w:pitch w:val="default"/>
    <w:sig w:usb0="A00002BF" w:usb1="38C77CFA" w:usb2="00000016" w:usb3="00000000" w:csb0="0004000F" w:csb1="00000000"/>
  </w:font>
  <w:font w:name="Times New Roman Regular">
    <w:altName w:val="Nimbus Roman No9 L"/>
    <w:panose1 w:val="00000000000000000000"/>
    <w:charset w:val="00"/>
    <w:family w:val="auto"/>
    <w:pitch w:val="default"/>
    <w:sig w:usb0="00000000" w:usb1="00000000" w:usb2="00000001" w:usb3="00000000" w:csb0="400001BF" w:csb1="DFF7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方正宋体S-超大字符集">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 PAGE   \* MERGEFORMAT </w:instrText>
    </w:r>
    <w:r>
      <w:fldChar w:fldCharType="separate"/>
    </w:r>
    <w:r>
      <w:rPr>
        <w:lang w:val="zh-CN"/>
      </w:rPr>
      <w:t>21</w:t>
    </w:r>
    <w:r>
      <w:rPr>
        <w:lang w:val="zh-CN"/>
      </w:rPr>
      <w:fldChar w:fldCharType="end"/>
    </w:r>
  </w:p>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B9D40B"/>
    <w:multiLevelType w:val="multilevel"/>
    <w:tmpl w:val="88B9D40B"/>
    <w:lvl w:ilvl="0" w:tentative="0">
      <w:start w:val="1"/>
      <w:numFmt w:val="decimal"/>
      <w:suff w:val="nothing"/>
      <w:lvlText w:val="%1．"/>
      <w:lvlJc w:val="left"/>
      <w:rPr>
        <w:rFonts w:hint="default"/>
        <w:u w:val="none"/>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BAF7DC27"/>
    <w:multiLevelType w:val="singleLevel"/>
    <w:tmpl w:val="BAF7DC27"/>
    <w:lvl w:ilvl="0" w:tentative="0">
      <w:start w:val="1"/>
      <w:numFmt w:val="decimal"/>
      <w:suff w:val="space"/>
      <w:lvlText w:val="%1."/>
      <w:lvlJc w:val="left"/>
    </w:lvl>
  </w:abstractNum>
  <w:abstractNum w:abstractNumId="2">
    <w:nsid w:val="DF6E6A2B"/>
    <w:multiLevelType w:val="singleLevel"/>
    <w:tmpl w:val="DF6E6A2B"/>
    <w:lvl w:ilvl="0" w:tentative="0">
      <w:start w:val="9"/>
      <w:numFmt w:val="chineseCounting"/>
      <w:suff w:val="nothing"/>
      <w:lvlText w:val="%1、"/>
      <w:lvlJc w:val="left"/>
      <w:rPr>
        <w:rFonts w:hint="eastAsia"/>
      </w:rPr>
    </w:lvl>
  </w:abstractNum>
  <w:abstractNum w:abstractNumId="3">
    <w:nsid w:val="E9FB992C"/>
    <w:multiLevelType w:val="singleLevel"/>
    <w:tmpl w:val="E9FB992C"/>
    <w:lvl w:ilvl="0" w:tentative="0">
      <w:start w:val="2"/>
      <w:numFmt w:val="chineseCounting"/>
      <w:suff w:val="space"/>
      <w:lvlText w:val="第%1部分"/>
      <w:lvlJc w:val="left"/>
      <w:rPr>
        <w:rFonts w:hint="eastAsia"/>
      </w:rPr>
    </w:lvl>
  </w:abstractNum>
  <w:abstractNum w:abstractNumId="4">
    <w:nsid w:val="EF65E980"/>
    <w:multiLevelType w:val="singleLevel"/>
    <w:tmpl w:val="EF65E980"/>
    <w:lvl w:ilvl="0" w:tentative="0">
      <w:start w:val="1"/>
      <w:numFmt w:val="decimal"/>
      <w:suff w:val="nothing"/>
      <w:lvlText w:val="%1．"/>
      <w:lvlJc w:val="left"/>
    </w:lvl>
  </w:abstractNum>
  <w:abstractNum w:abstractNumId="5">
    <w:nsid w:val="F577ADA4"/>
    <w:multiLevelType w:val="singleLevel"/>
    <w:tmpl w:val="F577ADA4"/>
    <w:lvl w:ilvl="0" w:tentative="0">
      <w:start w:val="1"/>
      <w:numFmt w:val="decimal"/>
      <w:suff w:val="space"/>
      <w:lvlText w:val="%1."/>
      <w:lvlJc w:val="left"/>
    </w:lvl>
  </w:abstractNum>
  <w:abstractNum w:abstractNumId="6">
    <w:nsid w:val="FEB684F5"/>
    <w:multiLevelType w:val="singleLevel"/>
    <w:tmpl w:val="FEB684F5"/>
    <w:lvl w:ilvl="0" w:tentative="0">
      <w:start w:val="1"/>
      <w:numFmt w:val="decimal"/>
      <w:suff w:val="space"/>
      <w:lvlText w:val="%1."/>
      <w:lvlJc w:val="left"/>
    </w:lvl>
  </w:abstractNum>
  <w:abstractNum w:abstractNumId="7">
    <w:nsid w:val="426D866A"/>
    <w:multiLevelType w:val="singleLevel"/>
    <w:tmpl w:val="426D866A"/>
    <w:lvl w:ilvl="0" w:tentative="0">
      <w:start w:val="3"/>
      <w:numFmt w:val="chineseCounting"/>
      <w:suff w:val="nothing"/>
      <w:lvlText w:val="（%1）"/>
      <w:lvlJc w:val="left"/>
      <w:rPr>
        <w:rFonts w:hint="eastAsia"/>
      </w:rPr>
    </w:lvl>
  </w:abstractNum>
  <w:abstractNum w:abstractNumId="8">
    <w:nsid w:val="6F0249CB"/>
    <w:multiLevelType w:val="singleLevel"/>
    <w:tmpl w:val="6F0249CB"/>
    <w:lvl w:ilvl="0" w:tentative="0">
      <w:start w:val="1"/>
      <w:numFmt w:val="decimal"/>
      <w:suff w:val="space"/>
      <w:lvlText w:val="%1."/>
      <w:lvlJc w:val="left"/>
    </w:lvl>
  </w:abstractNum>
  <w:abstractNum w:abstractNumId="9">
    <w:nsid w:val="6FAE938F"/>
    <w:multiLevelType w:val="singleLevel"/>
    <w:tmpl w:val="6FAE938F"/>
    <w:lvl w:ilvl="0" w:tentative="0">
      <w:start w:val="2"/>
      <w:numFmt w:val="chineseCounting"/>
      <w:suff w:val="nothing"/>
      <w:lvlText w:val="（%1）"/>
      <w:lvlJc w:val="left"/>
      <w:rPr>
        <w:rFonts w:hint="eastAsia"/>
      </w:rPr>
    </w:lvl>
  </w:abstractNum>
  <w:abstractNum w:abstractNumId="10">
    <w:nsid w:val="79DECDAB"/>
    <w:multiLevelType w:val="singleLevel"/>
    <w:tmpl w:val="79DECDAB"/>
    <w:lvl w:ilvl="0" w:tentative="0">
      <w:start w:val="1"/>
      <w:numFmt w:val="chineseCounting"/>
      <w:suff w:val="space"/>
      <w:lvlText w:val="第%1部分"/>
      <w:lvlJc w:val="left"/>
      <w:rPr>
        <w:rFonts w:hint="eastAsia"/>
      </w:rPr>
    </w:lvl>
  </w:abstractNum>
  <w:num w:numId="1">
    <w:abstractNumId w:val="3"/>
  </w:num>
  <w:num w:numId="2">
    <w:abstractNumId w:val="10"/>
  </w:num>
  <w:num w:numId="3">
    <w:abstractNumId w:val="8"/>
  </w:num>
  <w:num w:numId="4">
    <w:abstractNumId w:val="6"/>
  </w:num>
  <w:num w:numId="5">
    <w:abstractNumId w:val="5"/>
  </w:num>
  <w:num w:numId="6">
    <w:abstractNumId w:val="0"/>
  </w:num>
  <w:num w:numId="7">
    <w:abstractNumId w:val="4"/>
  </w:num>
  <w:num w:numId="8">
    <w:abstractNumId w:val="9"/>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c3M2MzNjAyNzdmZDk4NDNkZjA3OTVkMjE4MzU2Zjk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B0731"/>
    <w:rsid w:val="001D707F"/>
    <w:rsid w:val="001E7634"/>
    <w:rsid w:val="00204509"/>
    <w:rsid w:val="00225D2E"/>
    <w:rsid w:val="0023107E"/>
    <w:rsid w:val="00233241"/>
    <w:rsid w:val="0025642B"/>
    <w:rsid w:val="00256447"/>
    <w:rsid w:val="00282B17"/>
    <w:rsid w:val="00297C52"/>
    <w:rsid w:val="002C4BA0"/>
    <w:rsid w:val="002E6C82"/>
    <w:rsid w:val="002F234F"/>
    <w:rsid w:val="00300987"/>
    <w:rsid w:val="0030784F"/>
    <w:rsid w:val="00312846"/>
    <w:rsid w:val="003243E0"/>
    <w:rsid w:val="00367870"/>
    <w:rsid w:val="00375E79"/>
    <w:rsid w:val="003A4E85"/>
    <w:rsid w:val="003B3EAA"/>
    <w:rsid w:val="00482D36"/>
    <w:rsid w:val="00490629"/>
    <w:rsid w:val="0049507B"/>
    <w:rsid w:val="004A738F"/>
    <w:rsid w:val="004B1589"/>
    <w:rsid w:val="004B721F"/>
    <w:rsid w:val="004C4761"/>
    <w:rsid w:val="004D7065"/>
    <w:rsid w:val="004E0B6C"/>
    <w:rsid w:val="004F0A6F"/>
    <w:rsid w:val="00500183"/>
    <w:rsid w:val="005011E1"/>
    <w:rsid w:val="00505A51"/>
    <w:rsid w:val="005110E2"/>
    <w:rsid w:val="0051384E"/>
    <w:rsid w:val="00521603"/>
    <w:rsid w:val="00536012"/>
    <w:rsid w:val="0054657E"/>
    <w:rsid w:val="0059054F"/>
    <w:rsid w:val="00596608"/>
    <w:rsid w:val="005B4139"/>
    <w:rsid w:val="005C13AB"/>
    <w:rsid w:val="00667493"/>
    <w:rsid w:val="006C017F"/>
    <w:rsid w:val="006C0F13"/>
    <w:rsid w:val="006D6A81"/>
    <w:rsid w:val="006E7255"/>
    <w:rsid w:val="007003B2"/>
    <w:rsid w:val="007402A0"/>
    <w:rsid w:val="00751C0C"/>
    <w:rsid w:val="00762248"/>
    <w:rsid w:val="00787000"/>
    <w:rsid w:val="007A7BA5"/>
    <w:rsid w:val="007B6706"/>
    <w:rsid w:val="007C1FDD"/>
    <w:rsid w:val="007D6292"/>
    <w:rsid w:val="00857D98"/>
    <w:rsid w:val="00894C48"/>
    <w:rsid w:val="00896385"/>
    <w:rsid w:val="008A10DB"/>
    <w:rsid w:val="008B5455"/>
    <w:rsid w:val="008D3D50"/>
    <w:rsid w:val="009125DD"/>
    <w:rsid w:val="009339A5"/>
    <w:rsid w:val="00936C2E"/>
    <w:rsid w:val="00954CD9"/>
    <w:rsid w:val="009A5EF3"/>
    <w:rsid w:val="009D6904"/>
    <w:rsid w:val="009E1EE8"/>
    <w:rsid w:val="009E227B"/>
    <w:rsid w:val="009E308A"/>
    <w:rsid w:val="009E7217"/>
    <w:rsid w:val="009F0536"/>
    <w:rsid w:val="00A03DDC"/>
    <w:rsid w:val="00A147CF"/>
    <w:rsid w:val="00A270BE"/>
    <w:rsid w:val="00A36C1D"/>
    <w:rsid w:val="00A517A0"/>
    <w:rsid w:val="00A62486"/>
    <w:rsid w:val="00A627A9"/>
    <w:rsid w:val="00A760AF"/>
    <w:rsid w:val="00A9209C"/>
    <w:rsid w:val="00AB013A"/>
    <w:rsid w:val="00AB27B6"/>
    <w:rsid w:val="00AD11A5"/>
    <w:rsid w:val="00AE47F5"/>
    <w:rsid w:val="00AF5F33"/>
    <w:rsid w:val="00B04159"/>
    <w:rsid w:val="00B27D51"/>
    <w:rsid w:val="00B32BEE"/>
    <w:rsid w:val="00B373AF"/>
    <w:rsid w:val="00B4208A"/>
    <w:rsid w:val="00B438E7"/>
    <w:rsid w:val="00B4393B"/>
    <w:rsid w:val="00B57D7A"/>
    <w:rsid w:val="00B76620"/>
    <w:rsid w:val="00B840CE"/>
    <w:rsid w:val="00B96C3D"/>
    <w:rsid w:val="00BD0928"/>
    <w:rsid w:val="00BE5F73"/>
    <w:rsid w:val="00BF4228"/>
    <w:rsid w:val="00C07A30"/>
    <w:rsid w:val="00C23D90"/>
    <w:rsid w:val="00C352FF"/>
    <w:rsid w:val="00C44231"/>
    <w:rsid w:val="00CC6B8B"/>
    <w:rsid w:val="00CD3751"/>
    <w:rsid w:val="00D2051A"/>
    <w:rsid w:val="00D2294E"/>
    <w:rsid w:val="00D96390"/>
    <w:rsid w:val="00E124C9"/>
    <w:rsid w:val="00E219E7"/>
    <w:rsid w:val="00E366AE"/>
    <w:rsid w:val="00E60D6A"/>
    <w:rsid w:val="00E73321"/>
    <w:rsid w:val="00E77EC0"/>
    <w:rsid w:val="00E8696E"/>
    <w:rsid w:val="00E914C1"/>
    <w:rsid w:val="00E97C37"/>
    <w:rsid w:val="00EE533B"/>
    <w:rsid w:val="00EF72D0"/>
    <w:rsid w:val="00F04882"/>
    <w:rsid w:val="00F63327"/>
    <w:rsid w:val="00F80A29"/>
    <w:rsid w:val="00FA7CA5"/>
    <w:rsid w:val="00FD08EC"/>
    <w:rsid w:val="00FD7690"/>
    <w:rsid w:val="07FE9BE1"/>
    <w:rsid w:val="0CEB6A28"/>
    <w:rsid w:val="0D78C6FC"/>
    <w:rsid w:val="0EF70C92"/>
    <w:rsid w:val="0FBF2DDA"/>
    <w:rsid w:val="0FCD7773"/>
    <w:rsid w:val="13EF50E6"/>
    <w:rsid w:val="13FB8EA6"/>
    <w:rsid w:val="1C1F1256"/>
    <w:rsid w:val="1DFF4D7C"/>
    <w:rsid w:val="1E716BFD"/>
    <w:rsid w:val="1ED3DF92"/>
    <w:rsid w:val="1EEFD0D2"/>
    <w:rsid w:val="1F730D7D"/>
    <w:rsid w:val="1F916710"/>
    <w:rsid w:val="1FB27412"/>
    <w:rsid w:val="1FBF39C2"/>
    <w:rsid w:val="1FEDAE0E"/>
    <w:rsid w:val="1FFAB7FF"/>
    <w:rsid w:val="23FE7F22"/>
    <w:rsid w:val="2666D212"/>
    <w:rsid w:val="2AFEA506"/>
    <w:rsid w:val="2EEFB71F"/>
    <w:rsid w:val="2EF71119"/>
    <w:rsid w:val="2FFD3DCA"/>
    <w:rsid w:val="31FFAD72"/>
    <w:rsid w:val="33DF4C44"/>
    <w:rsid w:val="34F560BD"/>
    <w:rsid w:val="357FD8CE"/>
    <w:rsid w:val="35CF916E"/>
    <w:rsid w:val="369F5F04"/>
    <w:rsid w:val="36F1B679"/>
    <w:rsid w:val="36F4C562"/>
    <w:rsid w:val="377A667B"/>
    <w:rsid w:val="37EFCB99"/>
    <w:rsid w:val="37FF5680"/>
    <w:rsid w:val="38E7DC9E"/>
    <w:rsid w:val="39BF1E39"/>
    <w:rsid w:val="3A1AFAA6"/>
    <w:rsid w:val="3A81F05B"/>
    <w:rsid w:val="3B6F57B2"/>
    <w:rsid w:val="3B7DB2F9"/>
    <w:rsid w:val="3BC80025"/>
    <w:rsid w:val="3BDA4E34"/>
    <w:rsid w:val="3BF7D6FF"/>
    <w:rsid w:val="3BFB6BCF"/>
    <w:rsid w:val="3D9F0A61"/>
    <w:rsid w:val="3DE26237"/>
    <w:rsid w:val="3DE47D18"/>
    <w:rsid w:val="3DF7AC24"/>
    <w:rsid w:val="3DFFC03D"/>
    <w:rsid w:val="3EBB7EC5"/>
    <w:rsid w:val="3EE1CF07"/>
    <w:rsid w:val="3F1F8810"/>
    <w:rsid w:val="3F4E7B46"/>
    <w:rsid w:val="3F68EDF9"/>
    <w:rsid w:val="3F6E63A7"/>
    <w:rsid w:val="3FBFCEE2"/>
    <w:rsid w:val="3FBFE69C"/>
    <w:rsid w:val="3FCFECFE"/>
    <w:rsid w:val="3FDA6179"/>
    <w:rsid w:val="3FDB6EDE"/>
    <w:rsid w:val="3FDC2B5B"/>
    <w:rsid w:val="3FEFC2DA"/>
    <w:rsid w:val="3FFF9534"/>
    <w:rsid w:val="46FFC4A6"/>
    <w:rsid w:val="47DF4A80"/>
    <w:rsid w:val="494D2012"/>
    <w:rsid w:val="4B7FD54C"/>
    <w:rsid w:val="4CBF2E1F"/>
    <w:rsid w:val="4CDFD258"/>
    <w:rsid w:val="4F3DED7D"/>
    <w:rsid w:val="50BF1FA4"/>
    <w:rsid w:val="52DFF2DD"/>
    <w:rsid w:val="55465BF2"/>
    <w:rsid w:val="55FD4C95"/>
    <w:rsid w:val="57BDEBEE"/>
    <w:rsid w:val="57C56324"/>
    <w:rsid w:val="57EB1DA5"/>
    <w:rsid w:val="59EE994F"/>
    <w:rsid w:val="59EFC903"/>
    <w:rsid w:val="59F77C9B"/>
    <w:rsid w:val="5B21BF6A"/>
    <w:rsid w:val="5B65264B"/>
    <w:rsid w:val="5CBFD376"/>
    <w:rsid w:val="5CE33429"/>
    <w:rsid w:val="5D5FEABC"/>
    <w:rsid w:val="5DFA5B9F"/>
    <w:rsid w:val="5DFBCB73"/>
    <w:rsid w:val="5E7F17EC"/>
    <w:rsid w:val="5ECFFDD1"/>
    <w:rsid w:val="5EE4A199"/>
    <w:rsid w:val="5F1EF4D4"/>
    <w:rsid w:val="5F7BE11F"/>
    <w:rsid w:val="5F7F0CE1"/>
    <w:rsid w:val="5FAF56D2"/>
    <w:rsid w:val="5FD73868"/>
    <w:rsid w:val="5FFBA99E"/>
    <w:rsid w:val="63BBE042"/>
    <w:rsid w:val="63D71695"/>
    <w:rsid w:val="644E54C6"/>
    <w:rsid w:val="64BF9FBD"/>
    <w:rsid w:val="657F7CE7"/>
    <w:rsid w:val="65EBFA59"/>
    <w:rsid w:val="666BBDAC"/>
    <w:rsid w:val="66FE2E00"/>
    <w:rsid w:val="67EF8FF1"/>
    <w:rsid w:val="67FD6B5C"/>
    <w:rsid w:val="67FDB431"/>
    <w:rsid w:val="67FF3D28"/>
    <w:rsid w:val="697CC717"/>
    <w:rsid w:val="6B9921F4"/>
    <w:rsid w:val="6B9BF5F7"/>
    <w:rsid w:val="6BEF598E"/>
    <w:rsid w:val="6BFFA6A7"/>
    <w:rsid w:val="6C599FF0"/>
    <w:rsid w:val="6DCBD561"/>
    <w:rsid w:val="6DE9EED8"/>
    <w:rsid w:val="6DF5AA01"/>
    <w:rsid w:val="6E1743F1"/>
    <w:rsid w:val="6E53231D"/>
    <w:rsid w:val="6EB1C696"/>
    <w:rsid w:val="6EE6F389"/>
    <w:rsid w:val="6EF23784"/>
    <w:rsid w:val="6EFB2537"/>
    <w:rsid w:val="6F9FF920"/>
    <w:rsid w:val="6FB9002E"/>
    <w:rsid w:val="6FC3337A"/>
    <w:rsid w:val="6FDF88FA"/>
    <w:rsid w:val="6FF7E9CA"/>
    <w:rsid w:val="6FFDC160"/>
    <w:rsid w:val="6FFEE581"/>
    <w:rsid w:val="707DB5F0"/>
    <w:rsid w:val="71FA91F4"/>
    <w:rsid w:val="729A0167"/>
    <w:rsid w:val="732E1929"/>
    <w:rsid w:val="7393CE37"/>
    <w:rsid w:val="73FF6FAB"/>
    <w:rsid w:val="74BFEF66"/>
    <w:rsid w:val="75EF74D9"/>
    <w:rsid w:val="75FDAEFE"/>
    <w:rsid w:val="767BBDD4"/>
    <w:rsid w:val="76B75D70"/>
    <w:rsid w:val="76EF7591"/>
    <w:rsid w:val="775FDF23"/>
    <w:rsid w:val="776B17AC"/>
    <w:rsid w:val="7795E4DF"/>
    <w:rsid w:val="77BF331E"/>
    <w:rsid w:val="77C73D7A"/>
    <w:rsid w:val="77D66270"/>
    <w:rsid w:val="77DF1D51"/>
    <w:rsid w:val="77EF9E10"/>
    <w:rsid w:val="77F66770"/>
    <w:rsid w:val="77FBE7F9"/>
    <w:rsid w:val="77FF89AB"/>
    <w:rsid w:val="791F11CD"/>
    <w:rsid w:val="797F77E6"/>
    <w:rsid w:val="7A75C2A7"/>
    <w:rsid w:val="7A9F1346"/>
    <w:rsid w:val="7ADF127E"/>
    <w:rsid w:val="7AF37207"/>
    <w:rsid w:val="7AFDD225"/>
    <w:rsid w:val="7BDBBA98"/>
    <w:rsid w:val="7BDF6F82"/>
    <w:rsid w:val="7BEE92D5"/>
    <w:rsid w:val="7BF72E6A"/>
    <w:rsid w:val="7BFE3F61"/>
    <w:rsid w:val="7BFF725B"/>
    <w:rsid w:val="7BFFA5D5"/>
    <w:rsid w:val="7C77E57A"/>
    <w:rsid w:val="7CBF8ED7"/>
    <w:rsid w:val="7CDB661B"/>
    <w:rsid w:val="7CDF5F07"/>
    <w:rsid w:val="7D639E03"/>
    <w:rsid w:val="7D77E0E2"/>
    <w:rsid w:val="7DAE3DCD"/>
    <w:rsid w:val="7DAF0B8A"/>
    <w:rsid w:val="7DDF124E"/>
    <w:rsid w:val="7DDFC965"/>
    <w:rsid w:val="7DF774B7"/>
    <w:rsid w:val="7DFA95AE"/>
    <w:rsid w:val="7DFDC49A"/>
    <w:rsid w:val="7DFF45A7"/>
    <w:rsid w:val="7EADE7FE"/>
    <w:rsid w:val="7EB59F3D"/>
    <w:rsid w:val="7EDE5D61"/>
    <w:rsid w:val="7EEBE849"/>
    <w:rsid w:val="7EF72149"/>
    <w:rsid w:val="7F1A9368"/>
    <w:rsid w:val="7F2F4F89"/>
    <w:rsid w:val="7F364DE7"/>
    <w:rsid w:val="7F36F6EC"/>
    <w:rsid w:val="7F5B338A"/>
    <w:rsid w:val="7F6C5434"/>
    <w:rsid w:val="7F755B90"/>
    <w:rsid w:val="7F764296"/>
    <w:rsid w:val="7F77109F"/>
    <w:rsid w:val="7F9923B7"/>
    <w:rsid w:val="7FA6757F"/>
    <w:rsid w:val="7FAF1CB9"/>
    <w:rsid w:val="7FB3449F"/>
    <w:rsid w:val="7FBE2F60"/>
    <w:rsid w:val="7FBEE551"/>
    <w:rsid w:val="7FBF40F6"/>
    <w:rsid w:val="7FDF027A"/>
    <w:rsid w:val="7FE310FE"/>
    <w:rsid w:val="7FEECE87"/>
    <w:rsid w:val="7FEFCDB1"/>
    <w:rsid w:val="7FF630C7"/>
    <w:rsid w:val="7FF69F20"/>
    <w:rsid w:val="7FF7FBBA"/>
    <w:rsid w:val="7FFF015B"/>
    <w:rsid w:val="7FFF28F3"/>
    <w:rsid w:val="7FFF2F62"/>
    <w:rsid w:val="7FFF404A"/>
    <w:rsid w:val="83AF59E0"/>
    <w:rsid w:val="84BF2A10"/>
    <w:rsid w:val="8FC665B5"/>
    <w:rsid w:val="8FFF330B"/>
    <w:rsid w:val="95AF3EDC"/>
    <w:rsid w:val="95EEB2AD"/>
    <w:rsid w:val="9CB89269"/>
    <w:rsid w:val="9DBD8A04"/>
    <w:rsid w:val="9F7BB9ED"/>
    <w:rsid w:val="9F7BD7E8"/>
    <w:rsid w:val="9F969728"/>
    <w:rsid w:val="9FAD4FD6"/>
    <w:rsid w:val="A7D7AD40"/>
    <w:rsid w:val="A7FE2636"/>
    <w:rsid w:val="A957CD0C"/>
    <w:rsid w:val="ABFB4F10"/>
    <w:rsid w:val="ACBF63C0"/>
    <w:rsid w:val="ACFBCB4E"/>
    <w:rsid w:val="AD93C1E7"/>
    <w:rsid w:val="AE7F2BB0"/>
    <w:rsid w:val="AFB0056F"/>
    <w:rsid w:val="AFFFB08C"/>
    <w:rsid w:val="B31B56AE"/>
    <w:rsid w:val="B3EED123"/>
    <w:rsid w:val="B56F1286"/>
    <w:rsid w:val="B5FEB718"/>
    <w:rsid w:val="B7C25387"/>
    <w:rsid w:val="B7D6348F"/>
    <w:rsid w:val="B89E3A3A"/>
    <w:rsid w:val="B973DE78"/>
    <w:rsid w:val="B9EB3C8C"/>
    <w:rsid w:val="B9FEC230"/>
    <w:rsid w:val="BA7B23C6"/>
    <w:rsid w:val="BBBFBCC6"/>
    <w:rsid w:val="BBCF8813"/>
    <w:rsid w:val="BBFBCECE"/>
    <w:rsid w:val="BC4B387F"/>
    <w:rsid w:val="BF3E71AF"/>
    <w:rsid w:val="BF7B53EA"/>
    <w:rsid w:val="BF7BA712"/>
    <w:rsid w:val="BF9FCAAD"/>
    <w:rsid w:val="BFDEF484"/>
    <w:rsid w:val="BFEF57E3"/>
    <w:rsid w:val="BFFED7F3"/>
    <w:rsid w:val="BFFFCE36"/>
    <w:rsid w:val="C43C1487"/>
    <w:rsid w:val="C5F376A3"/>
    <w:rsid w:val="C67B54B7"/>
    <w:rsid w:val="C7EDF196"/>
    <w:rsid w:val="C7FFB9B4"/>
    <w:rsid w:val="CAEEC293"/>
    <w:rsid w:val="CBD36FEC"/>
    <w:rsid w:val="CBFE299B"/>
    <w:rsid w:val="CCFF9332"/>
    <w:rsid w:val="CD7EF565"/>
    <w:rsid w:val="CEDF8D55"/>
    <w:rsid w:val="CEEDCF5F"/>
    <w:rsid w:val="CF99A085"/>
    <w:rsid w:val="D1514F71"/>
    <w:rsid w:val="D1FF5C82"/>
    <w:rsid w:val="D33EA3C8"/>
    <w:rsid w:val="D37C65D7"/>
    <w:rsid w:val="D3BFA01B"/>
    <w:rsid w:val="D5EBD2CF"/>
    <w:rsid w:val="D5F8B162"/>
    <w:rsid w:val="D65610C7"/>
    <w:rsid w:val="D737AEE7"/>
    <w:rsid w:val="D7910F88"/>
    <w:rsid w:val="D7E66DCB"/>
    <w:rsid w:val="D7F693B3"/>
    <w:rsid w:val="D7F76E12"/>
    <w:rsid w:val="D7FF393A"/>
    <w:rsid w:val="DABEB63A"/>
    <w:rsid w:val="DB49DDEB"/>
    <w:rsid w:val="DBDF84CD"/>
    <w:rsid w:val="DC9FC105"/>
    <w:rsid w:val="DDA7BB14"/>
    <w:rsid w:val="DE77B49D"/>
    <w:rsid w:val="DEDF3408"/>
    <w:rsid w:val="DEEEDA67"/>
    <w:rsid w:val="DEF7AC07"/>
    <w:rsid w:val="DEFF17A6"/>
    <w:rsid w:val="DF73742F"/>
    <w:rsid w:val="DF971695"/>
    <w:rsid w:val="DFA3AC13"/>
    <w:rsid w:val="DFA7CCEF"/>
    <w:rsid w:val="DFAF64D6"/>
    <w:rsid w:val="DFBF29EB"/>
    <w:rsid w:val="DFDAD976"/>
    <w:rsid w:val="DFEC521A"/>
    <w:rsid w:val="DFEFDEAD"/>
    <w:rsid w:val="DFF5329B"/>
    <w:rsid w:val="DFF5570C"/>
    <w:rsid w:val="DFFDAED7"/>
    <w:rsid w:val="DFFE3EB1"/>
    <w:rsid w:val="DFFEF218"/>
    <w:rsid w:val="E2FF77E5"/>
    <w:rsid w:val="E3D7DD16"/>
    <w:rsid w:val="E5D55CB5"/>
    <w:rsid w:val="E66F262A"/>
    <w:rsid w:val="E6CDAE42"/>
    <w:rsid w:val="E6FF282C"/>
    <w:rsid w:val="E7375EBE"/>
    <w:rsid w:val="E775C2E1"/>
    <w:rsid w:val="E7B7BAC7"/>
    <w:rsid w:val="E7EA2993"/>
    <w:rsid w:val="E7F1A70A"/>
    <w:rsid w:val="E7F7BD7D"/>
    <w:rsid w:val="E8EE4F49"/>
    <w:rsid w:val="E9FFD324"/>
    <w:rsid w:val="EA7C7347"/>
    <w:rsid w:val="EABF6BEC"/>
    <w:rsid w:val="EAF7F014"/>
    <w:rsid w:val="EB371AD5"/>
    <w:rsid w:val="EBB82363"/>
    <w:rsid w:val="EBFFE58E"/>
    <w:rsid w:val="EC2F1BE6"/>
    <w:rsid w:val="EC7FEC13"/>
    <w:rsid w:val="EDF45DF3"/>
    <w:rsid w:val="EE5F4339"/>
    <w:rsid w:val="EE7B7011"/>
    <w:rsid w:val="EEBE7083"/>
    <w:rsid w:val="EEFFF9B0"/>
    <w:rsid w:val="EF22A8E1"/>
    <w:rsid w:val="EF3F5E93"/>
    <w:rsid w:val="EF6EF1EE"/>
    <w:rsid w:val="EF9D10D0"/>
    <w:rsid w:val="EFBF2FE7"/>
    <w:rsid w:val="EFCA703B"/>
    <w:rsid w:val="EFD73A59"/>
    <w:rsid w:val="EFDEA319"/>
    <w:rsid w:val="EFE70F64"/>
    <w:rsid w:val="EFEFEE95"/>
    <w:rsid w:val="EFFBBCD8"/>
    <w:rsid w:val="EFFFB9FE"/>
    <w:rsid w:val="F1E2F1B9"/>
    <w:rsid w:val="F2E74DD1"/>
    <w:rsid w:val="F2EFF658"/>
    <w:rsid w:val="F32EA1DE"/>
    <w:rsid w:val="F37DF06A"/>
    <w:rsid w:val="F3E73D91"/>
    <w:rsid w:val="F3FF2657"/>
    <w:rsid w:val="F4E4A7BE"/>
    <w:rsid w:val="F5B6063F"/>
    <w:rsid w:val="F5BCC4DF"/>
    <w:rsid w:val="F5D59DF7"/>
    <w:rsid w:val="F669904A"/>
    <w:rsid w:val="F675ACC3"/>
    <w:rsid w:val="F6BDE90D"/>
    <w:rsid w:val="F757DA75"/>
    <w:rsid w:val="F7718FCA"/>
    <w:rsid w:val="F77B5A51"/>
    <w:rsid w:val="F77DBA01"/>
    <w:rsid w:val="F79B6A7D"/>
    <w:rsid w:val="F7BC43A9"/>
    <w:rsid w:val="F7F2426B"/>
    <w:rsid w:val="F7F6326F"/>
    <w:rsid w:val="F7F79FDF"/>
    <w:rsid w:val="F7F92749"/>
    <w:rsid w:val="F7FA36B6"/>
    <w:rsid w:val="F7FE8F3B"/>
    <w:rsid w:val="F7FFDF24"/>
    <w:rsid w:val="F9B1D809"/>
    <w:rsid w:val="F9F7F9FF"/>
    <w:rsid w:val="F9FC3D38"/>
    <w:rsid w:val="FABF085B"/>
    <w:rsid w:val="FAC79EB7"/>
    <w:rsid w:val="FAFAB772"/>
    <w:rsid w:val="FAFF57FA"/>
    <w:rsid w:val="FB2D28A3"/>
    <w:rsid w:val="FB7B267C"/>
    <w:rsid w:val="FB7F68B7"/>
    <w:rsid w:val="FB8FC154"/>
    <w:rsid w:val="FBB7CA2D"/>
    <w:rsid w:val="FBDD699D"/>
    <w:rsid w:val="FBEB05EF"/>
    <w:rsid w:val="FBF615EB"/>
    <w:rsid w:val="FBFF7EEB"/>
    <w:rsid w:val="FBFFE35D"/>
    <w:rsid w:val="FC2B183E"/>
    <w:rsid w:val="FCDF9962"/>
    <w:rsid w:val="FD1B2C3D"/>
    <w:rsid w:val="FD3AB0EE"/>
    <w:rsid w:val="FD3F30BA"/>
    <w:rsid w:val="FD6F5347"/>
    <w:rsid w:val="FD738FF5"/>
    <w:rsid w:val="FD7EE8A8"/>
    <w:rsid w:val="FD9EB808"/>
    <w:rsid w:val="FD9F19F1"/>
    <w:rsid w:val="FDDF9EE3"/>
    <w:rsid w:val="FDF95F3E"/>
    <w:rsid w:val="FDFB2C8C"/>
    <w:rsid w:val="FDFE53F2"/>
    <w:rsid w:val="FDFFDF57"/>
    <w:rsid w:val="FE357024"/>
    <w:rsid w:val="FE57BC8D"/>
    <w:rsid w:val="FE5D9B20"/>
    <w:rsid w:val="FE6F7E78"/>
    <w:rsid w:val="FE7C31AD"/>
    <w:rsid w:val="FE7FAB1E"/>
    <w:rsid w:val="FEB53A4F"/>
    <w:rsid w:val="FEB66AD6"/>
    <w:rsid w:val="FEC74A5A"/>
    <w:rsid w:val="FEEF47A8"/>
    <w:rsid w:val="FEF19CE3"/>
    <w:rsid w:val="FEF79BFB"/>
    <w:rsid w:val="FEFE3879"/>
    <w:rsid w:val="FF3E03BD"/>
    <w:rsid w:val="FF479EF3"/>
    <w:rsid w:val="FF4FEFFF"/>
    <w:rsid w:val="FF5FA14B"/>
    <w:rsid w:val="FF5FC4AB"/>
    <w:rsid w:val="FF6AFC42"/>
    <w:rsid w:val="FF7FCC1C"/>
    <w:rsid w:val="FFAF7A45"/>
    <w:rsid w:val="FFB2A3E2"/>
    <w:rsid w:val="FFB60AD1"/>
    <w:rsid w:val="FFBD1C6F"/>
    <w:rsid w:val="FFBD4FE6"/>
    <w:rsid w:val="FFBF65AA"/>
    <w:rsid w:val="FFC5C132"/>
    <w:rsid w:val="FFC91362"/>
    <w:rsid w:val="FFCBC8EE"/>
    <w:rsid w:val="FFDFDBD7"/>
    <w:rsid w:val="FFE651A4"/>
    <w:rsid w:val="FFE74322"/>
    <w:rsid w:val="FFEB61F0"/>
    <w:rsid w:val="FFEF2807"/>
    <w:rsid w:val="FFEF39E5"/>
    <w:rsid w:val="FFEF576D"/>
    <w:rsid w:val="FFF18DDF"/>
    <w:rsid w:val="FFF31BF5"/>
    <w:rsid w:val="FFF50F11"/>
    <w:rsid w:val="FFF710B1"/>
    <w:rsid w:val="FFFB179D"/>
    <w:rsid w:val="FFFB4EDF"/>
    <w:rsid w:val="FFFCA5A0"/>
    <w:rsid w:val="FFFDA0F8"/>
    <w:rsid w:val="FFFF797F"/>
    <w:rsid w:val="FFFF7988"/>
    <w:rsid w:val="FFFF93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29"/>
    <w:qFormat/>
    <w:uiPriority w:val="0"/>
    <w:pPr>
      <w:keepNext/>
      <w:keepLines/>
      <w:spacing w:before="260" w:after="260" w:line="416" w:lineRule="auto"/>
      <w:outlineLvl w:val="2"/>
    </w:pPr>
    <w:rPr>
      <w:b/>
      <w:bCs/>
      <w:sz w:val="32"/>
      <w:szCs w:val="32"/>
    </w:rPr>
  </w:style>
  <w:style w:type="paragraph" w:styleId="7">
    <w:name w:val="heading 4"/>
    <w:basedOn w:val="1"/>
    <w:next w:val="1"/>
    <w:link w:val="24"/>
    <w:qFormat/>
    <w:uiPriority w:val="0"/>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rPr>
      <w:rFonts w:ascii="宋体" w:hAnsi="宋体"/>
    </w:rPr>
  </w:style>
  <w:style w:type="paragraph" w:styleId="3">
    <w:name w:val="Body Text Indent"/>
    <w:basedOn w:val="1"/>
    <w:unhideWhenUsed/>
    <w:qFormat/>
    <w:uiPriority w:val="99"/>
    <w:pPr>
      <w:ind w:left="420" w:leftChars="200"/>
    </w:pPr>
    <w:rPr>
      <w:rFonts w:hint="eastAsia"/>
      <w:sz w:val="24"/>
    </w:rPr>
  </w:style>
  <w:style w:type="paragraph" w:styleId="8">
    <w:name w:val="toc 7"/>
    <w:basedOn w:val="1"/>
    <w:next w:val="1"/>
    <w:qFormat/>
    <w:uiPriority w:val="0"/>
    <w:pPr>
      <w:ind w:left="1260"/>
      <w:jc w:val="left"/>
    </w:pPr>
    <w:rPr>
      <w:sz w:val="20"/>
      <w:szCs w:val="20"/>
    </w:rPr>
  </w:style>
  <w:style w:type="paragraph" w:styleId="9">
    <w:name w:val="Document Map"/>
    <w:basedOn w:val="1"/>
    <w:qFormat/>
    <w:uiPriority w:val="0"/>
    <w:pPr>
      <w:shd w:val="clear" w:color="auto" w:fill="000080"/>
    </w:pPr>
  </w:style>
  <w:style w:type="paragraph" w:styleId="10">
    <w:name w:val="toc 5"/>
    <w:basedOn w:val="1"/>
    <w:next w:val="1"/>
    <w:qFormat/>
    <w:uiPriority w:val="0"/>
    <w:pPr>
      <w:ind w:left="840"/>
      <w:jc w:val="left"/>
    </w:pPr>
    <w:rPr>
      <w:sz w:val="20"/>
      <w:szCs w:val="20"/>
    </w:rPr>
  </w:style>
  <w:style w:type="paragraph" w:styleId="11">
    <w:name w:val="toc 3"/>
    <w:basedOn w:val="1"/>
    <w:next w:val="1"/>
    <w:qFormat/>
    <w:uiPriority w:val="0"/>
    <w:pPr>
      <w:adjustRightInd w:val="0"/>
      <w:snapToGrid w:val="0"/>
      <w:spacing w:line="360" w:lineRule="auto"/>
      <w:ind w:firstLine="400" w:firstLineChars="400"/>
      <w:jc w:val="left"/>
    </w:pPr>
    <w:rPr>
      <w:sz w:val="24"/>
      <w:szCs w:val="20"/>
    </w:rPr>
  </w:style>
  <w:style w:type="paragraph" w:styleId="12">
    <w:name w:val="toc 8"/>
    <w:basedOn w:val="1"/>
    <w:next w:val="1"/>
    <w:qFormat/>
    <w:uiPriority w:val="0"/>
    <w:pPr>
      <w:ind w:left="1470"/>
      <w:jc w:val="left"/>
    </w:pPr>
    <w:rPr>
      <w:sz w:val="20"/>
      <w:szCs w:val="20"/>
    </w:rPr>
  </w:style>
  <w:style w:type="paragraph" w:styleId="13">
    <w:name w:val="footer"/>
    <w:basedOn w:val="1"/>
    <w:link w:val="27"/>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adjustRightInd w:val="0"/>
      <w:snapToGrid w:val="0"/>
      <w:spacing w:line="360" w:lineRule="auto"/>
      <w:jc w:val="left"/>
    </w:pPr>
    <w:rPr>
      <w:b/>
      <w:bCs/>
      <w:sz w:val="24"/>
      <w:szCs w:val="20"/>
    </w:rPr>
  </w:style>
  <w:style w:type="paragraph" w:styleId="16">
    <w:name w:val="toc 4"/>
    <w:basedOn w:val="1"/>
    <w:next w:val="1"/>
    <w:qFormat/>
    <w:uiPriority w:val="0"/>
    <w:pPr>
      <w:ind w:left="630"/>
      <w:jc w:val="left"/>
    </w:pPr>
    <w:rPr>
      <w:sz w:val="20"/>
      <w:szCs w:val="20"/>
    </w:rPr>
  </w:style>
  <w:style w:type="paragraph" w:styleId="17">
    <w:name w:val="toc 6"/>
    <w:basedOn w:val="1"/>
    <w:next w:val="1"/>
    <w:qFormat/>
    <w:uiPriority w:val="0"/>
    <w:pPr>
      <w:ind w:left="1050"/>
      <w:jc w:val="left"/>
    </w:pPr>
    <w:rPr>
      <w:sz w:val="20"/>
      <w:szCs w:val="20"/>
    </w:rPr>
  </w:style>
  <w:style w:type="paragraph" w:styleId="18">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9">
    <w:name w:val="toc 9"/>
    <w:basedOn w:val="1"/>
    <w:next w:val="1"/>
    <w:qFormat/>
    <w:uiPriority w:val="0"/>
    <w:pPr>
      <w:ind w:left="1680"/>
      <w:jc w:val="left"/>
    </w:pPr>
    <w:rPr>
      <w:sz w:val="20"/>
      <w:szCs w:val="20"/>
    </w:rPr>
  </w:style>
  <w:style w:type="character" w:styleId="22">
    <w:name w:val="page number"/>
    <w:basedOn w:val="21"/>
    <w:qFormat/>
    <w:uiPriority w:val="0"/>
  </w:style>
  <w:style w:type="character" w:styleId="23">
    <w:name w:val="Hyperlink"/>
    <w:basedOn w:val="21"/>
    <w:qFormat/>
    <w:uiPriority w:val="0"/>
    <w:rPr>
      <w:color w:val="0000FF"/>
      <w:u w:val="single"/>
    </w:rPr>
  </w:style>
  <w:style w:type="character" w:customStyle="1" w:styleId="24">
    <w:name w:val="标题 4 Char"/>
    <w:basedOn w:val="21"/>
    <w:link w:val="7"/>
    <w:qFormat/>
    <w:uiPriority w:val="0"/>
    <w:rPr>
      <w:rFonts w:ascii="Cambria" w:hAnsi="Cambria"/>
      <w:b/>
      <w:bCs/>
      <w:kern w:val="2"/>
      <w:sz w:val="28"/>
      <w:szCs w:val="28"/>
    </w:rPr>
  </w:style>
  <w:style w:type="paragraph" w:styleId="25">
    <w:name w:val="No Spacing"/>
    <w:link w:val="26"/>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6">
    <w:name w:val="无间隔 Char"/>
    <w:link w:val="25"/>
    <w:qFormat/>
    <w:locked/>
    <w:uiPriority w:val="0"/>
    <w:rPr>
      <w:rFonts w:eastAsia="仿宋_GB2312"/>
      <w:sz w:val="30"/>
      <w:szCs w:val="22"/>
      <w:lang w:bidi="ar-SA"/>
    </w:rPr>
  </w:style>
  <w:style w:type="character" w:customStyle="1" w:styleId="27">
    <w:name w:val="页脚 Char"/>
    <w:basedOn w:val="21"/>
    <w:link w:val="13"/>
    <w:qFormat/>
    <w:uiPriority w:val="0"/>
    <w:rPr>
      <w:kern w:val="2"/>
      <w:sz w:val="18"/>
      <w:szCs w:val="18"/>
    </w:rPr>
  </w:style>
  <w:style w:type="paragraph" w:styleId="28">
    <w:name w:val="List Paragraph"/>
    <w:basedOn w:val="1"/>
    <w:qFormat/>
    <w:uiPriority w:val="0"/>
    <w:pPr>
      <w:ind w:firstLine="420" w:firstLineChars="200"/>
    </w:pPr>
  </w:style>
  <w:style w:type="character" w:customStyle="1" w:styleId="29">
    <w:name w:val="标题 3 Char"/>
    <w:basedOn w:val="21"/>
    <w:link w:val="6"/>
    <w:qFormat/>
    <w:uiPriority w:val="0"/>
    <w:rPr>
      <w:b/>
      <w:bCs/>
      <w:kern w:val="2"/>
      <w:sz w:val="32"/>
      <w:szCs w:val="32"/>
    </w:rPr>
  </w:style>
  <w:style w:type="paragraph" w:customStyle="1" w:styleId="30">
    <w:name w:val="MsoNormal"/>
    <w:basedOn w:val="1"/>
    <w:qFormat/>
    <w:uiPriority w:val="0"/>
  </w:style>
  <w:style w:type="paragraph" w:customStyle="1" w:styleId="31">
    <w:name w:val="MsoBodyText"/>
    <w:basedOn w:val="1"/>
    <w:qFormat/>
    <w:uiPriority w:val="0"/>
  </w:style>
  <w:style w:type="paragraph" w:customStyle="1" w:styleId="32">
    <w:name w:val="MsoBodyTextFirstIndent2"/>
    <w:basedOn w:val="1"/>
    <w:qFormat/>
    <w:uiPriority w:val="0"/>
  </w:style>
  <w:style w:type="paragraph" w:customStyle="1" w:styleId="33">
    <w:name w:val="正文首行缩进 21"/>
    <w:basedOn w:val="34"/>
    <w:unhideWhenUsed/>
    <w:qFormat/>
    <w:uiPriority w:val="0"/>
    <w:pPr>
      <w:spacing w:after="120"/>
      <w:ind w:firstLine="420"/>
    </w:pPr>
    <w:rPr>
      <w:rFonts w:ascii="Calibri" w:hAnsi="Calibri" w:eastAsia="仿宋_GB2312"/>
      <w:sz w:val="32"/>
    </w:rPr>
  </w:style>
  <w:style w:type="paragraph" w:customStyle="1" w:styleId="34">
    <w:name w:val="正文文本缩进1"/>
    <w:basedOn w:val="1"/>
    <w:next w:val="33"/>
    <w:unhideWhenUsed/>
    <w:qFormat/>
    <w:uiPriority w:val="0"/>
    <w:pPr>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800" b="1" i="0" u="none" strike="noStrike" kern="1200" baseline="0">
              <a:solidFill>
                <a:schemeClr val="dk1">
                  <a:lumMod val="75000"/>
                  <a:lumOff val="25000"/>
                </a:schemeClr>
              </a:solidFill>
              <a:latin typeface="+mn-lt"/>
              <a:ea typeface="+mn-ea"/>
              <a:cs typeface="+mn-cs"/>
            </a:defRPr>
          </a:pPr>
        </a:p>
      </c:txPr>
    </c:title>
    <c:autoTitleDeleted val="false"/>
    <c:plotArea>
      <c:layout>
        <c:manualLayout>
          <c:layoutTarget val="inner"/>
          <c:xMode val="edge"/>
          <c:yMode val="edge"/>
          <c:x val="0.05875"/>
          <c:y val="0.161581920903955"/>
          <c:w val="0.529"/>
          <c:h val="0.7969868173258"/>
        </c:manualLayout>
      </c:layout>
      <c:pieChart>
        <c:varyColors val="true"/>
        <c:ser>
          <c:idx val="0"/>
          <c:order val="0"/>
          <c:tx>
            <c:strRef>
              <c:f>Sheet1!$B$1</c:f>
              <c:strCache>
                <c:ptCount val="1"/>
                <c:pt idx="0">
                  <c:v>收入决算图</c:v>
                </c:pt>
              </c:strCache>
            </c:strRef>
          </c:tx>
          <c:explosion val="0"/>
          <c:dPt>
            <c:idx val="0"/>
            <c:bubble3D val="false"/>
            <c:spPr>
              <a:solidFill>
                <a:schemeClr val="accent1"/>
              </a:solidFill>
              <a:ln>
                <a:noFill/>
              </a:ln>
              <a:effectLst>
                <a:outerShdw blurRad="254000" sx="102000" sy="102000" algn="ctr" rotWithShape="0">
                  <a:prstClr val="black">
                    <a:alpha val="20000"/>
                  </a:prstClr>
                </a:outerShdw>
              </a:effectLst>
            </c:spPr>
          </c:dPt>
          <c:dPt>
            <c:idx val="1"/>
            <c:bubble3D val="false"/>
            <c:spPr>
              <a:solidFill>
                <a:schemeClr val="accent2"/>
              </a:solidFill>
              <a:ln>
                <a:noFill/>
              </a:ln>
              <a:effectLst>
                <a:outerShdw blurRad="254000" sx="102000" sy="102000" algn="ctr" rotWithShape="0">
                  <a:prstClr val="black">
                    <a:alpha val="20000"/>
                  </a:prstClr>
                </a:outerShdw>
              </a:effectLst>
            </c:spPr>
          </c:dPt>
          <c:dPt>
            <c:idx val="2"/>
            <c:bubble3D val="false"/>
            <c:spPr>
              <a:solidFill>
                <a:schemeClr val="accent3"/>
              </a:solidFill>
              <a:ln>
                <a:noFill/>
              </a:ln>
              <a:effectLst>
                <a:outerShdw blurRad="254000" sx="102000" sy="102000" algn="ctr" rotWithShape="0">
                  <a:prstClr val="black">
                    <a:alpha val="20000"/>
                  </a:prstClr>
                </a:outerShdw>
              </a:effectLst>
            </c:spPr>
          </c:dPt>
          <c:dPt>
            <c:idx val="3"/>
            <c:bubble3D val="false"/>
            <c:spPr>
              <a:solidFill>
                <a:schemeClr val="accent4"/>
              </a:solidFill>
              <a:ln>
                <a:noFill/>
              </a:ln>
              <a:effectLst>
                <a:outerShdw blurRad="254000" sx="102000" sy="102000" algn="ctr" rotWithShape="0">
                  <a:prstClr val="black">
                    <a:alpha val="20000"/>
                  </a:prstClr>
                </a:outerShdw>
              </a:effectLst>
            </c:spPr>
          </c:dPt>
          <c:dPt>
            <c:idx val="4"/>
            <c:bubble3D val="false"/>
            <c:spPr>
              <a:solidFill>
                <a:schemeClr val="accent5"/>
              </a:solidFill>
              <a:ln>
                <a:noFill/>
              </a:ln>
              <a:effectLst>
                <a:outerShdw blurRad="254000" sx="102000" sy="102000" algn="ctr" rotWithShape="0">
                  <a:prstClr val="black">
                    <a:alpha val="20000"/>
                  </a:prstClr>
                </a:outerShdw>
              </a:effectLst>
            </c:spPr>
          </c:dPt>
          <c:dPt>
            <c:idx val="5"/>
            <c:bubble3D val="false"/>
            <c:spPr>
              <a:solidFill>
                <a:schemeClr val="accent6"/>
              </a:solidFill>
              <a:ln>
                <a:noFill/>
              </a:ln>
              <a:effectLst>
                <a:outerShdw blurRad="254000" sx="102000" sy="102000" algn="ctr" rotWithShape="0">
                  <a:prstClr val="black">
                    <a:alpha val="20000"/>
                  </a:prstClr>
                </a:outerShdw>
              </a:effectLst>
            </c:spPr>
          </c:dPt>
          <c:dPt>
            <c:idx val="6"/>
            <c:bubble3D val="false"/>
            <c:spPr>
              <a:solidFill>
                <a:schemeClr val="accent1">
                  <a:lumMod val="60000"/>
                </a:schemeClr>
              </a:solidFill>
              <a:ln>
                <a:noFill/>
              </a:ln>
              <a:effectLst>
                <a:outerShdw blurRad="254000" sx="102000" sy="102000" algn="ctr" rotWithShape="0">
                  <a:prstClr val="black">
                    <a:alpha val="20000"/>
                  </a:prstClr>
                </a:outerShdw>
              </a:effectLst>
            </c:spPr>
          </c:dPt>
          <c:dPt>
            <c:idx val="7"/>
            <c:bubble3D val="false"/>
            <c:spPr>
              <a:solidFill>
                <a:schemeClr val="accent2">
                  <a:lumMod val="60000"/>
                </a:schemeClr>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r>
                      <a:rPr lang="en-US" altLang="zh-CN"/>
                      <a:t>96.03</a:t>
                    </a:r>
                    <a:r>
                      <a:t>%</a:t>
                    </a:r>
                  </a:p>
                </c:rich>
              </c:tx>
              <c:dLblPos val="ctr"/>
              <c:showLegendKey val="false"/>
              <c:showVal val="true"/>
              <c:showCatName val="false"/>
              <c:showSerName val="false"/>
              <c:showPercent val="true"/>
              <c:showBubbleSize val="false"/>
              <c:extLst>
                <c:ext xmlns:c15="http://schemas.microsoft.com/office/drawing/2012/chart" uri="{CE6537A1-D6FC-4f65-9D91-7224C49458BB}"/>
              </c:extLst>
            </c:dLbl>
            <c:dLbl>
              <c:idx val="7"/>
              <c:layout/>
              <c:tx>
                <c:rich>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r>
                      <a:rPr lang="en-US" altLang="zh-CN"/>
                      <a:t>3.97</a:t>
                    </a:r>
                    <a:r>
                      <a:t>%</a:t>
                    </a:r>
                  </a:p>
                </c:rich>
              </c:tx>
              <c:dLblPos val="ctr"/>
              <c:showLegendKey val="false"/>
              <c:showVal val="true"/>
              <c:showCatName val="false"/>
              <c:showSerName val="false"/>
              <c:showPercent val="true"/>
              <c:showBubbleSize val="false"/>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ctr"/>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dk1">
                          <a:lumMod val="50000"/>
                          <a:lumOff val="50000"/>
                        </a:schemeClr>
                      </a:solidFill>
                      <a:prstDash val="solid"/>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0.00%</c:formatCode>
                <c:ptCount val="8"/>
                <c:pt idx="0">
                  <c:v>0.9676</c:v>
                </c:pt>
                <c:pt idx="1" c:formatCode="General">
                  <c:v>0</c:v>
                </c:pt>
                <c:pt idx="2" c:formatCode="General">
                  <c:v>0</c:v>
                </c:pt>
                <c:pt idx="3" c:formatCode="General">
                  <c:v>0</c:v>
                </c:pt>
                <c:pt idx="4" c:formatCode="General">
                  <c:v>0</c:v>
                </c:pt>
                <c:pt idx="5" c:formatCode="General">
                  <c:v>0</c:v>
                </c:pt>
                <c:pt idx="6" c:formatCode="General">
                  <c:v>0</c:v>
                </c:pt>
                <c:pt idx="7">
                  <c:v>0.0324</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800" b="1" i="0" u="none" strike="noStrike" kern="1200" baseline="0">
              <a:solidFill>
                <a:schemeClr val="dk1">
                  <a:lumMod val="75000"/>
                  <a:lumOff val="25000"/>
                </a:schemeClr>
              </a:solidFill>
              <a:latin typeface="+mn-lt"/>
              <a:ea typeface="+mn-ea"/>
              <a:cs typeface="+mn-cs"/>
            </a:defRPr>
          </a:pPr>
        </a:p>
      </c:txPr>
    </c:title>
    <c:autoTitleDeleted val="false"/>
    <c:plotArea>
      <c:layout/>
      <c:pieChart>
        <c:varyColors val="true"/>
        <c:ser>
          <c:idx val="0"/>
          <c:order val="0"/>
          <c:tx>
            <c:strRef>
              <c:f>Sheet1!$B$1</c:f>
              <c:strCache>
                <c:ptCount val="1"/>
                <c:pt idx="0">
                  <c:v>支出决算图</c:v>
                </c:pt>
              </c:strCache>
            </c:strRef>
          </c:tx>
          <c:explosion val="0"/>
          <c:dPt>
            <c:idx val="0"/>
            <c:bubble3D val="false"/>
            <c:spPr>
              <a:solidFill>
                <a:schemeClr val="accent1"/>
              </a:solidFill>
              <a:ln>
                <a:noFill/>
              </a:ln>
              <a:effectLst>
                <a:outerShdw blurRad="254000" sx="102000" sy="102000" algn="ctr" rotWithShape="0">
                  <a:prstClr val="black">
                    <a:alpha val="20000"/>
                  </a:prstClr>
                </a:outerShdw>
              </a:effectLst>
            </c:spPr>
          </c:dPt>
          <c:dPt>
            <c:idx val="1"/>
            <c:bubble3D val="false"/>
            <c:spPr>
              <a:solidFill>
                <a:schemeClr val="accent3"/>
              </a:solidFill>
              <a:ln>
                <a:noFill/>
              </a:ln>
              <a:effectLst>
                <a:outerShdw blurRad="254000" sx="102000" sy="102000" algn="ctr" rotWithShape="0">
                  <a:prstClr val="black">
                    <a:alpha val="20000"/>
                  </a:prstClr>
                </a:outerShdw>
              </a:effectLst>
            </c:spPr>
          </c:dPt>
          <c:dPt>
            <c:idx val="2"/>
            <c:bubble3D val="false"/>
            <c:spPr>
              <a:solidFill>
                <a:schemeClr val="accent5"/>
              </a:solidFill>
              <a:ln>
                <a:noFill/>
              </a:ln>
              <a:effectLst>
                <a:outerShdw blurRad="254000" sx="102000" sy="102000" algn="ctr" rotWithShape="0">
                  <a:prstClr val="black">
                    <a:alpha val="20000"/>
                  </a:prstClr>
                </a:outerShdw>
              </a:effectLst>
            </c:spPr>
          </c:dPt>
          <c:dPt>
            <c:idx val="3"/>
            <c:bubble3D val="false"/>
            <c:spPr>
              <a:solidFill>
                <a:schemeClr val="accent1">
                  <a:lumMod val="60000"/>
                </a:schemeClr>
              </a:solidFill>
              <a:ln>
                <a:noFill/>
              </a:ln>
              <a:effectLst>
                <a:outerShdw blurRad="254000" sx="102000" sy="102000" algn="ctr" rotWithShape="0">
                  <a:prstClr val="black">
                    <a:alpha val="20000"/>
                  </a:prstClr>
                </a:outerShdw>
              </a:effectLst>
            </c:spPr>
          </c:dPt>
          <c:dPt>
            <c:idx val="4"/>
            <c:bubble3D val="false"/>
            <c:spPr>
              <a:solidFill>
                <a:schemeClr val="accent3">
                  <a:lumMod val="60000"/>
                </a:schemeClr>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r>
                      <a:rPr lang="en-US" altLang="zh-CN"/>
                      <a:t>75.14</a:t>
                    </a:r>
                    <a:r>
                      <a:t>%</a:t>
                    </a:r>
                  </a:p>
                </c:rich>
              </c:tx>
              <c:dLblPos val="ctr"/>
              <c:showLegendKey val="false"/>
              <c:showVal val="true"/>
              <c:showCatName val="false"/>
              <c:showSerName val="false"/>
              <c:showPercent val="tru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r>
                      <a:rPr lang="en-US" altLang="zh-CN"/>
                      <a:t>24.86</a:t>
                    </a:r>
                    <a:r>
                      <a:t>%</a:t>
                    </a:r>
                  </a:p>
                </c:rich>
              </c:tx>
              <c:dLblPos val="ctr"/>
              <c:showLegendKey val="false"/>
              <c:showVal val="true"/>
              <c:showCatName val="false"/>
              <c:showSerName val="false"/>
              <c:showPercent val="true"/>
              <c:showBubbleSize val="false"/>
              <c:extLst>
                <c:ext xmlns:c15="http://schemas.microsoft.com/office/drawing/2012/chart" uri="{CE6537A1-D6FC-4f65-9D91-7224C49458BB}"/>
              </c:extLst>
            </c:dLbl>
            <c:dLbl>
              <c:idx val="2"/>
              <c:delete val="true"/>
            </c:dLbl>
            <c:dLbl>
              <c:idx val="3"/>
              <c:delete val="true"/>
            </c:dLbl>
            <c:dLbl>
              <c:idx val="4"/>
              <c:delete val="true"/>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ctr"/>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dk1">
                          <a:lumMod val="50000"/>
                          <a:lumOff val="50000"/>
                        </a:schemeClr>
                      </a:solidFill>
                      <a:prstDash val="solid"/>
                      <a:round/>
                    </a:ln>
                    <a:effectLst/>
                  </c:spPr>
                </c15:leaderLines>
              </c:ext>
            </c:extLst>
          </c:dLbls>
          <c:cat>
            <c:strRef>
              <c:f>Sheet1!$A$2:$A$6</c:f>
              <c:strCache>
                <c:ptCount val="5"/>
                <c:pt idx="0">
                  <c:v>基本支出</c:v>
                </c:pt>
                <c:pt idx="1">
                  <c:v>项目支出</c:v>
                </c:pt>
                <c:pt idx="2">
                  <c:v>上缴上级支出</c:v>
                </c:pt>
                <c:pt idx="3">
                  <c:v>经营支出 </c:v>
                </c:pt>
                <c:pt idx="4">
                  <c:v>对附属单位补助支出</c:v>
                </c:pt>
              </c:strCache>
            </c:strRef>
          </c:cat>
          <c:val>
            <c:numRef>
              <c:f>Sheet1!$B$2:$B$6</c:f>
              <c:numCache>
                <c:formatCode>0.00%</c:formatCode>
                <c:ptCount val="5"/>
                <c:pt idx="0">
                  <c:v>0.657</c:v>
                </c:pt>
                <c:pt idx="1">
                  <c:v>0.343</c:v>
                </c:pt>
                <c:pt idx="2" c:formatCode="0%">
                  <c:v>0</c:v>
                </c:pt>
                <c:pt idx="3" c:formatCode="0%">
                  <c:v>0</c:v>
                </c:pt>
                <c:pt idx="4" c:formatCode="0%">
                  <c:v>0</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27</Pages>
  <Words>1857</Words>
  <Characters>10588</Characters>
  <Lines>88</Lines>
  <Paragraphs>24</Paragraphs>
  <TotalTime>7</TotalTime>
  <ScaleCrop>false</ScaleCrop>
  <LinksUpToDate>false</LinksUpToDate>
  <CharactersWithSpaces>12421</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2022-04-01T04:40:00Z</dcterms:created>
  <dc:creator>Administrator</dc:creator>
  <cp:lastModifiedBy>root001</cp:lastModifiedBy>
  <cp:lastPrinted>2026-08-14T09:10:12Z</cp:lastPrinted>
  <dcterms:modified xsi:type="dcterms:W3CDTF">2026-08-14T09:12:35Z</dcterms:modified>
  <dc:title>××年度××部门/单位</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y fmtid="{D5CDD505-2E9C-101B-9397-08002B2CF9AE}" pid="3" name="ICV">
    <vt:lpwstr>CD18C8F1BDE745298521FDB2D2407ACB_12</vt:lpwstr>
  </property>
</Properties>
</file>