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0710068">
      <w:pPr>
        <w:spacing w:line="360" w:lineRule="auto"/>
        <w:jc w:val="center"/>
        <w:rPr>
          <w:rFonts w:ascii="宋体" w:hAnsi="宋体"/>
          <w:sz w:val="24"/>
        </w:rPr>
      </w:pPr>
    </w:p>
    <w:p w14:paraId="35D190EA">
      <w:pPr>
        <w:spacing w:line="360" w:lineRule="auto"/>
        <w:jc w:val="center"/>
        <w:rPr>
          <w:rFonts w:ascii="宋体" w:hAnsi="宋体"/>
          <w:sz w:val="24"/>
        </w:rPr>
      </w:pPr>
    </w:p>
    <w:p w14:paraId="19D7A740">
      <w:pPr>
        <w:spacing w:line="360" w:lineRule="auto"/>
        <w:jc w:val="center"/>
        <w:rPr>
          <w:rFonts w:ascii="宋体" w:hAnsi="宋体"/>
          <w:sz w:val="24"/>
        </w:rPr>
      </w:pPr>
    </w:p>
    <w:p w14:paraId="664E3B24">
      <w:pPr>
        <w:pageBreakBefore w:val="0"/>
        <w:kinsoku/>
        <w:wordWrap/>
        <w:overflowPunct/>
        <w:topLinePunct w:val="0"/>
        <w:autoSpaceDE/>
        <w:autoSpaceDN/>
        <w:bidi w:val="0"/>
        <w:spacing w:line="580" w:lineRule="exact"/>
        <w:ind w:left="0" w:leftChars="0"/>
        <w:jc w:val="center"/>
        <w:textAlignment w:val="auto"/>
        <w:rPr>
          <w:rFonts w:ascii="宋体" w:hAnsi="宋体"/>
          <w:sz w:val="24"/>
        </w:rPr>
      </w:pPr>
    </w:p>
    <w:p w14:paraId="71388C2E">
      <w:pPr>
        <w:pageBreakBefore w:val="0"/>
        <w:kinsoku/>
        <w:wordWrap/>
        <w:overflowPunct/>
        <w:topLinePunct w:val="0"/>
        <w:autoSpaceDE/>
        <w:autoSpaceDN/>
        <w:bidi w:val="0"/>
        <w:spacing w:line="580" w:lineRule="exact"/>
        <w:ind w:left="0" w:leftChars="0"/>
        <w:jc w:val="center"/>
        <w:textAlignment w:val="auto"/>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202</w:t>
      </w:r>
      <w:r>
        <w:rPr>
          <w:rFonts w:hint="eastAsia" w:ascii="方正小标宋简体" w:hAnsi="方正小标宋简体" w:eastAsia="方正小标宋简体" w:cs="方正小标宋简体"/>
          <w:sz w:val="44"/>
          <w:szCs w:val="44"/>
          <w:highlight w:val="none"/>
          <w:lang w:val="en-US" w:eastAsia="zh-CN"/>
        </w:rPr>
        <w:t>5</w:t>
      </w:r>
      <w:r>
        <w:rPr>
          <w:rFonts w:hint="eastAsia" w:ascii="方正小标宋简体" w:hAnsi="方正小标宋简体" w:eastAsia="方正小标宋简体" w:cs="方正小标宋简体"/>
          <w:sz w:val="44"/>
          <w:szCs w:val="44"/>
          <w:highlight w:val="none"/>
        </w:rPr>
        <w:t>年度赤峰市强制隔离戒毒所</w:t>
      </w:r>
      <w:r>
        <w:rPr>
          <w:rFonts w:hint="eastAsia" w:ascii="方正小标宋简体" w:hAnsi="方正小标宋简体" w:eastAsia="方正小标宋简体" w:cs="方正小标宋简体"/>
          <w:sz w:val="44"/>
          <w:szCs w:val="44"/>
          <w:highlight w:val="none"/>
          <w:lang w:eastAsia="zh-CN"/>
        </w:rPr>
        <w:t>决算</w:t>
      </w:r>
      <w:r>
        <w:rPr>
          <w:rFonts w:hint="eastAsia" w:ascii="方正小标宋简体" w:hAnsi="方正小标宋简体" w:eastAsia="方正小标宋简体" w:cs="方正小标宋简体"/>
          <w:sz w:val="44"/>
          <w:szCs w:val="44"/>
          <w:highlight w:val="none"/>
        </w:rPr>
        <w:t>公开</w:t>
      </w:r>
    </w:p>
    <w:p w14:paraId="56820A36">
      <w:pPr>
        <w:pageBreakBefore w:val="0"/>
        <w:kinsoku/>
        <w:wordWrap/>
        <w:overflowPunct/>
        <w:topLinePunct w:val="0"/>
        <w:autoSpaceDE/>
        <w:autoSpaceDN/>
        <w:bidi w:val="0"/>
        <w:spacing w:line="580" w:lineRule="exact"/>
        <w:ind w:left="0" w:leftChars="0"/>
        <w:jc w:val="center"/>
        <w:textAlignment w:val="auto"/>
        <w:rPr>
          <w:rFonts w:hint="eastAsia" w:ascii="方正小标宋简体" w:hAnsi="方正小标宋简体" w:eastAsia="方正小标宋简体" w:cs="方正小标宋简体"/>
          <w:sz w:val="44"/>
          <w:szCs w:val="44"/>
          <w:highlight w:val="none"/>
        </w:rPr>
      </w:pPr>
    </w:p>
    <w:p w14:paraId="176B40CF">
      <w:pPr>
        <w:pageBreakBefore w:val="0"/>
        <w:kinsoku/>
        <w:wordWrap/>
        <w:overflowPunct/>
        <w:topLinePunct w:val="0"/>
        <w:autoSpaceDE/>
        <w:autoSpaceDN/>
        <w:bidi w:val="0"/>
        <w:spacing w:line="580" w:lineRule="exact"/>
        <w:ind w:left="0" w:leftChars="0"/>
        <w:jc w:val="center"/>
        <w:textAlignment w:val="auto"/>
        <w:rPr>
          <w:rFonts w:ascii="宋体" w:hAnsi="宋体"/>
          <w:sz w:val="24"/>
        </w:rPr>
      </w:pPr>
    </w:p>
    <w:p w14:paraId="3CAAFBDB">
      <w:pPr>
        <w:pageBreakBefore w:val="0"/>
        <w:kinsoku/>
        <w:wordWrap/>
        <w:overflowPunct/>
        <w:topLinePunct w:val="0"/>
        <w:autoSpaceDE/>
        <w:autoSpaceDN/>
        <w:bidi w:val="0"/>
        <w:spacing w:line="580" w:lineRule="exact"/>
        <w:ind w:left="0" w:leftChars="0"/>
        <w:jc w:val="center"/>
        <w:textAlignment w:val="auto"/>
        <w:rPr>
          <w:rFonts w:ascii="宋体" w:hAnsi="宋体"/>
          <w:sz w:val="24"/>
        </w:rPr>
      </w:pPr>
    </w:p>
    <w:p w14:paraId="7E8211C6">
      <w:pPr>
        <w:pStyle w:val="21"/>
        <w:rPr>
          <w:rFonts w:ascii="宋体" w:hAnsi="宋体"/>
          <w:sz w:val="24"/>
        </w:rPr>
      </w:pPr>
    </w:p>
    <w:p w14:paraId="63731FA0">
      <w:pPr>
        <w:pStyle w:val="21"/>
        <w:rPr>
          <w:rFonts w:ascii="宋体" w:hAnsi="宋体"/>
          <w:sz w:val="24"/>
        </w:rPr>
      </w:pPr>
    </w:p>
    <w:p w14:paraId="768E1DFA">
      <w:pPr>
        <w:pStyle w:val="21"/>
        <w:rPr>
          <w:rFonts w:ascii="宋体" w:hAnsi="宋体"/>
          <w:sz w:val="24"/>
        </w:rPr>
      </w:pPr>
    </w:p>
    <w:p w14:paraId="415B568C">
      <w:pPr>
        <w:pStyle w:val="21"/>
        <w:rPr>
          <w:rFonts w:ascii="宋体" w:hAnsi="宋体"/>
          <w:sz w:val="24"/>
        </w:rPr>
      </w:pPr>
    </w:p>
    <w:p w14:paraId="3948A4A6">
      <w:pPr>
        <w:pStyle w:val="21"/>
        <w:rPr>
          <w:rFonts w:ascii="宋体" w:hAnsi="宋体"/>
          <w:sz w:val="24"/>
        </w:rPr>
      </w:pPr>
    </w:p>
    <w:p w14:paraId="0ED489DE">
      <w:pPr>
        <w:pStyle w:val="21"/>
        <w:rPr>
          <w:rFonts w:ascii="宋体" w:hAnsi="宋体"/>
          <w:sz w:val="24"/>
        </w:rPr>
      </w:pPr>
    </w:p>
    <w:p w14:paraId="3A19A055">
      <w:pPr>
        <w:pStyle w:val="21"/>
        <w:rPr>
          <w:rFonts w:ascii="宋体" w:hAnsi="宋体"/>
          <w:sz w:val="24"/>
        </w:rPr>
      </w:pPr>
    </w:p>
    <w:p w14:paraId="5393761E">
      <w:pPr>
        <w:pStyle w:val="21"/>
        <w:rPr>
          <w:rFonts w:ascii="宋体" w:hAnsi="宋体"/>
          <w:sz w:val="24"/>
        </w:rPr>
      </w:pPr>
    </w:p>
    <w:p w14:paraId="79CEA2DA">
      <w:pPr>
        <w:pageBreakBefore w:val="0"/>
        <w:kinsoku/>
        <w:wordWrap/>
        <w:overflowPunct/>
        <w:topLinePunct w:val="0"/>
        <w:autoSpaceDE/>
        <w:autoSpaceDN/>
        <w:bidi w:val="0"/>
        <w:spacing w:line="580" w:lineRule="exact"/>
        <w:ind w:left="0" w:leftChars="0"/>
        <w:jc w:val="center"/>
        <w:textAlignment w:val="auto"/>
        <w:rPr>
          <w:rFonts w:ascii="宋体" w:hAnsi="宋体"/>
          <w:sz w:val="24"/>
        </w:rPr>
      </w:pPr>
    </w:p>
    <w:p w14:paraId="7E371FF2">
      <w:pPr>
        <w:pageBreakBefore w:val="0"/>
        <w:kinsoku/>
        <w:wordWrap/>
        <w:overflowPunct/>
        <w:topLinePunct w:val="0"/>
        <w:autoSpaceDE/>
        <w:autoSpaceDN/>
        <w:bidi w:val="0"/>
        <w:spacing w:line="580" w:lineRule="exact"/>
        <w:ind w:left="0" w:leftChars="0"/>
        <w:jc w:val="center"/>
        <w:textAlignment w:val="auto"/>
        <w:rPr>
          <w:rFonts w:ascii="宋体" w:hAnsi="宋体"/>
          <w:sz w:val="24"/>
        </w:rPr>
      </w:pPr>
    </w:p>
    <w:p w14:paraId="688A0688">
      <w:pPr>
        <w:pStyle w:val="21"/>
        <w:autoSpaceDE/>
        <w:autoSpaceDN/>
        <w:adjustRightInd/>
        <w:spacing w:after="0" w:line="600" w:lineRule="exact"/>
        <w:ind w:left="0" w:leftChars="0" w:firstLine="0"/>
        <w:jc w:val="center"/>
        <w:rPr>
          <w:rFonts w:hint="eastAsia" w:ascii="黑体" w:hAnsi="黑体" w:eastAsia="黑体" w:cs="黑体"/>
          <w:kern w:val="0"/>
          <w:sz w:val="32"/>
          <w:szCs w:val="32"/>
          <w:highlight w:val="none"/>
          <w:lang w:val="en-US" w:eastAsia="zh-CN"/>
        </w:rPr>
      </w:pPr>
      <w:bookmarkStart w:id="0" w:name="a000"/>
      <w:r>
        <w:rPr>
          <w:rFonts w:hint="eastAsia" w:ascii="黑体" w:hAnsi="黑体" w:eastAsia="黑体" w:cs="黑体"/>
          <w:kern w:val="0"/>
          <w:sz w:val="32"/>
          <w:szCs w:val="32"/>
          <w:highlight w:val="none"/>
          <w:lang w:eastAsia="zh-CN"/>
        </w:rPr>
        <w:t>批复时间：</w:t>
      </w:r>
      <w:r>
        <w:rPr>
          <w:rFonts w:hint="eastAsia" w:ascii="黑体" w:hAnsi="黑体" w:eastAsia="黑体" w:cs="黑体"/>
          <w:kern w:val="0"/>
          <w:sz w:val="32"/>
          <w:szCs w:val="32"/>
          <w:highlight w:val="none"/>
          <w:lang w:val="en-US" w:eastAsia="zh-CN"/>
        </w:rPr>
        <w:t xml:space="preserve"> </w:t>
      </w:r>
      <w:r>
        <w:rPr>
          <w:rFonts w:hint="eastAsia" w:ascii="黑体" w:hAnsi="黑体" w:eastAsia="黑体" w:cs="黑体"/>
          <w:kern w:val="0"/>
          <w:sz w:val="32"/>
          <w:szCs w:val="32"/>
          <w:highlight w:val="none"/>
          <w:u w:val="single"/>
          <w:lang w:val="en-US" w:eastAsia="zh-CN"/>
        </w:rPr>
        <w:t xml:space="preserve"> 2026 </w:t>
      </w:r>
      <w:r>
        <w:rPr>
          <w:rFonts w:hint="eastAsia" w:ascii="黑体" w:hAnsi="黑体" w:eastAsia="黑体" w:cs="黑体"/>
          <w:kern w:val="0"/>
          <w:sz w:val="32"/>
          <w:szCs w:val="32"/>
          <w:highlight w:val="none"/>
          <w:lang w:val="en-US" w:eastAsia="zh-CN"/>
        </w:rPr>
        <w:t xml:space="preserve"> 年</w:t>
      </w:r>
      <w:r>
        <w:rPr>
          <w:rFonts w:hint="eastAsia" w:ascii="黑体" w:hAnsi="黑体" w:eastAsia="黑体" w:cs="黑体"/>
          <w:kern w:val="0"/>
          <w:sz w:val="32"/>
          <w:szCs w:val="32"/>
          <w:highlight w:val="none"/>
          <w:u w:val="single"/>
          <w:lang w:val="en-US" w:eastAsia="zh-CN"/>
        </w:rPr>
        <w:t xml:space="preserve">    </w:t>
      </w:r>
      <w:r>
        <w:rPr>
          <w:rFonts w:hint="eastAsia" w:ascii="黑体" w:hAnsi="黑体" w:eastAsia="黑体" w:cs="黑体"/>
          <w:kern w:val="0"/>
          <w:sz w:val="32"/>
          <w:szCs w:val="32"/>
          <w:highlight w:val="none"/>
          <w:lang w:val="en-US" w:eastAsia="zh-CN"/>
        </w:rPr>
        <w:t>月</w:t>
      </w:r>
      <w:r>
        <w:rPr>
          <w:rFonts w:hint="eastAsia" w:ascii="黑体" w:hAnsi="黑体" w:eastAsia="黑体" w:cs="黑体"/>
          <w:kern w:val="0"/>
          <w:sz w:val="32"/>
          <w:szCs w:val="32"/>
          <w:highlight w:val="none"/>
          <w:u w:val="single"/>
          <w:lang w:val="en-US" w:eastAsia="zh-CN"/>
        </w:rPr>
        <w:t xml:space="preserve">    </w:t>
      </w:r>
      <w:r>
        <w:rPr>
          <w:rFonts w:hint="eastAsia" w:ascii="黑体" w:hAnsi="黑体" w:eastAsia="黑体" w:cs="黑体"/>
          <w:kern w:val="0"/>
          <w:sz w:val="32"/>
          <w:szCs w:val="32"/>
          <w:highlight w:val="none"/>
          <w:lang w:val="en-US" w:eastAsia="zh-CN"/>
        </w:rPr>
        <w:t>日</w:t>
      </w:r>
    </w:p>
    <w:p w14:paraId="3D2CFFF8">
      <w:pPr>
        <w:pStyle w:val="21"/>
        <w:autoSpaceDE/>
        <w:autoSpaceDN/>
        <w:adjustRightInd/>
        <w:spacing w:after="0" w:line="600" w:lineRule="exact"/>
        <w:ind w:left="0" w:leftChars="0" w:firstLine="0"/>
        <w:jc w:val="center"/>
        <w:rPr>
          <w:rFonts w:hint="eastAsia" w:ascii="黑体" w:hAnsi="黑体" w:eastAsia="黑体" w:cs="黑体"/>
          <w:kern w:val="0"/>
          <w:sz w:val="32"/>
          <w:szCs w:val="32"/>
          <w:highlight w:val="none"/>
          <w:lang w:eastAsia="zh-CN"/>
        </w:rPr>
        <w:sectPr>
          <w:footerReference r:id="rId3" w:type="default"/>
          <w:pgSz w:w="11906" w:h="16838"/>
          <w:pgMar w:top="1440" w:right="1083" w:bottom="1440" w:left="1083" w:header="0" w:footer="720" w:gutter="0"/>
          <w:cols w:space="425" w:num="1"/>
          <w:docGrid w:type="lines" w:linePitch="312" w:charSpace="0"/>
        </w:sectPr>
      </w:pPr>
      <w:r>
        <w:rPr>
          <w:rFonts w:hint="eastAsia" w:ascii="黑体" w:hAnsi="黑体" w:eastAsia="黑体" w:cs="黑体"/>
          <w:kern w:val="0"/>
          <w:sz w:val="32"/>
          <w:szCs w:val="32"/>
          <w:highlight w:val="none"/>
          <w:lang w:val="en-US" w:eastAsia="zh-CN"/>
        </w:rPr>
        <w:t xml:space="preserve">公开时间： </w:t>
      </w:r>
      <w:r>
        <w:rPr>
          <w:rFonts w:hint="eastAsia" w:ascii="黑体" w:hAnsi="黑体" w:eastAsia="黑体" w:cs="黑体"/>
          <w:kern w:val="0"/>
          <w:sz w:val="32"/>
          <w:szCs w:val="32"/>
          <w:highlight w:val="none"/>
          <w:u w:val="single"/>
          <w:lang w:val="en-US" w:eastAsia="zh-CN"/>
        </w:rPr>
        <w:t xml:space="preserve"> 2026 </w:t>
      </w:r>
      <w:r>
        <w:rPr>
          <w:rFonts w:hint="eastAsia" w:ascii="黑体" w:hAnsi="黑体" w:eastAsia="黑体" w:cs="黑体"/>
          <w:kern w:val="0"/>
          <w:sz w:val="32"/>
          <w:szCs w:val="32"/>
          <w:highlight w:val="none"/>
          <w:lang w:val="en-US" w:eastAsia="zh-CN"/>
        </w:rPr>
        <w:t xml:space="preserve"> 年</w:t>
      </w:r>
      <w:r>
        <w:rPr>
          <w:rFonts w:hint="eastAsia" w:ascii="黑体" w:hAnsi="黑体" w:eastAsia="黑体" w:cs="黑体"/>
          <w:kern w:val="0"/>
          <w:sz w:val="32"/>
          <w:szCs w:val="32"/>
          <w:highlight w:val="none"/>
          <w:u w:val="single"/>
          <w:lang w:val="en-US" w:eastAsia="zh-CN"/>
        </w:rPr>
        <w:t xml:space="preserve">    </w:t>
      </w:r>
      <w:r>
        <w:rPr>
          <w:rFonts w:hint="eastAsia" w:ascii="黑体" w:hAnsi="黑体" w:eastAsia="黑体" w:cs="黑体"/>
          <w:kern w:val="0"/>
          <w:sz w:val="32"/>
          <w:szCs w:val="32"/>
          <w:highlight w:val="none"/>
          <w:lang w:val="en-US" w:eastAsia="zh-CN"/>
        </w:rPr>
        <w:t>月</w:t>
      </w:r>
      <w:r>
        <w:rPr>
          <w:rFonts w:hint="eastAsia" w:ascii="黑体" w:hAnsi="黑体" w:eastAsia="黑体" w:cs="黑体"/>
          <w:kern w:val="0"/>
          <w:sz w:val="32"/>
          <w:szCs w:val="32"/>
          <w:highlight w:val="none"/>
          <w:u w:val="single"/>
          <w:lang w:val="en-US" w:eastAsia="zh-CN"/>
        </w:rPr>
        <w:t xml:space="preserve">    </w:t>
      </w:r>
      <w:r>
        <w:rPr>
          <w:rFonts w:hint="eastAsia" w:ascii="黑体" w:hAnsi="黑体" w:eastAsia="黑体" w:cs="黑体"/>
          <w:kern w:val="0"/>
          <w:sz w:val="32"/>
          <w:szCs w:val="32"/>
          <w:highlight w:val="none"/>
          <w:lang w:val="en-US" w:eastAsia="zh-CN"/>
        </w:rPr>
        <w:t xml:space="preserve">日 </w:t>
      </w:r>
    </w:p>
    <w:p w14:paraId="0C80513F">
      <w:pPr>
        <w:pageBreakBefore/>
        <w:tabs>
          <w:tab w:val="left" w:pos="4533"/>
        </w:tabs>
        <w:adjustRightInd w:val="0"/>
        <w:snapToGrid w:val="0"/>
        <w:spacing w:line="600" w:lineRule="exact"/>
        <w:jc w:val="center"/>
        <w:rPr>
          <w:rFonts w:hint="eastAsia" w:ascii="Times New Roman" w:hAnsi="Times New Roman" w:eastAsia="Courier New" w:cs="Times New Roman"/>
          <w:sz w:val="44"/>
          <w:szCs w:val="44"/>
          <w:highlight w:val="none"/>
        </w:rPr>
      </w:pPr>
      <w:r>
        <w:rPr>
          <w:rFonts w:hint="eastAsia" w:ascii="Times New Roman" w:hAnsi="Times New Roman" w:eastAsia="Courier New" w:cs="Times New Roman"/>
          <w:sz w:val="44"/>
          <w:szCs w:val="44"/>
          <w:highlight w:val="none"/>
        </w:rPr>
        <w:t>目 录</w:t>
      </w:r>
    </w:p>
    <w:p w14:paraId="20825D15">
      <w:pPr>
        <w:pageBreakBefore w:val="0"/>
        <w:widowControl/>
        <w:kinsoku/>
        <w:wordWrap/>
        <w:overflowPunct/>
        <w:topLinePunct w:val="0"/>
        <w:autoSpaceDE/>
        <w:autoSpaceDN/>
        <w:bidi w:val="0"/>
        <w:spacing w:line="580" w:lineRule="exact"/>
        <w:ind w:left="0" w:leftChars="0"/>
        <w:jc w:val="left"/>
        <w:textAlignment w:val="auto"/>
        <w:rPr>
          <w:rFonts w:ascii="Times New Roman" w:hAnsi="Times New Roman" w:eastAsia="Times New Roman" w:cs="Times New Roman"/>
          <w:kern w:val="0"/>
          <w:sz w:val="24"/>
        </w:rPr>
      </w:pPr>
      <w:r>
        <w:rPr>
          <w:rFonts w:ascii="Times New Roman" w:hAnsi="Times New Roman" w:eastAsia="Times New Roman" w:cs="Times New Roman"/>
          <w:b/>
          <w:bCs/>
          <w:kern w:val="0"/>
          <w:sz w:val="24"/>
        </w:rPr>
        <w:t> </w:t>
      </w:r>
    </w:p>
    <w:p w14:paraId="63E37405">
      <w:pPr>
        <w:pageBreakBefore w:val="0"/>
        <w:widowControl/>
        <w:kinsoku/>
        <w:wordWrap/>
        <w:overflowPunct/>
        <w:topLinePunct w:val="0"/>
        <w:autoSpaceDE/>
        <w:autoSpaceDN/>
        <w:bidi w:val="0"/>
        <w:spacing w:line="580" w:lineRule="exact"/>
        <w:ind w:left="0" w:left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第一部分 部门（单位）概况</w:t>
      </w:r>
    </w:p>
    <w:p w14:paraId="0150A88D">
      <w:pPr>
        <w:pStyle w:val="8"/>
        <w:spacing w:after="0" w:line="600" w:lineRule="exact"/>
        <w:rPr>
          <w:rFonts w:hint="eastAsia" w:ascii="Times New Roman" w:hAnsi="Times New Roman" w:eastAsia="仿宋_GB2312" w:cs="仿宋"/>
          <w:b w:val="0"/>
          <w:bCs w:val="0"/>
          <w:w w:val="95"/>
          <w:sz w:val="32"/>
          <w:szCs w:val="32"/>
          <w:highlight w:val="none"/>
        </w:rPr>
      </w:pPr>
      <w:r>
        <w:rPr>
          <w:rFonts w:hint="eastAsia" w:ascii="Times New Roman" w:hAnsi="Times New Roman" w:eastAsia="仿宋_GB2312" w:cs="仿宋"/>
          <w:b w:val="0"/>
          <w:bCs w:val="0"/>
          <w:w w:val="95"/>
          <w:sz w:val="32"/>
          <w:szCs w:val="32"/>
          <w:highlight w:val="none"/>
        </w:rPr>
        <w:t>一、主要职能、职责</w:t>
      </w:r>
    </w:p>
    <w:p w14:paraId="70D599EA">
      <w:pPr>
        <w:pStyle w:val="8"/>
        <w:spacing w:after="0" w:line="600" w:lineRule="exact"/>
        <w:rPr>
          <w:rFonts w:hint="eastAsia" w:ascii="Times New Roman" w:hAnsi="Times New Roman" w:eastAsia="仿宋_GB2312" w:cs="仿宋"/>
          <w:b w:val="0"/>
          <w:bCs w:val="0"/>
          <w:w w:val="95"/>
          <w:sz w:val="32"/>
          <w:szCs w:val="32"/>
          <w:highlight w:val="none"/>
        </w:rPr>
      </w:pPr>
      <w:r>
        <w:rPr>
          <w:rFonts w:hint="eastAsia" w:ascii="Times New Roman" w:hAnsi="Times New Roman" w:eastAsia="仿宋_GB2312" w:cs="仿宋"/>
          <w:b w:val="0"/>
          <w:bCs w:val="0"/>
          <w:w w:val="95"/>
          <w:sz w:val="32"/>
          <w:szCs w:val="32"/>
          <w:highlight w:val="none"/>
        </w:rPr>
        <w:t>二、部门（单位）机构设置及决算单位构成情况</w:t>
      </w:r>
    </w:p>
    <w:p w14:paraId="58A97157">
      <w:pPr>
        <w:pStyle w:val="8"/>
        <w:spacing w:after="0" w:line="600" w:lineRule="exact"/>
        <w:rPr>
          <w:rFonts w:hint="eastAsia" w:ascii="Times New Roman" w:hAnsi="Times New Roman" w:eastAsia="仿宋_GB2312" w:cs="仿宋"/>
          <w:b w:val="0"/>
          <w:bCs w:val="0"/>
          <w:w w:val="95"/>
          <w:sz w:val="32"/>
          <w:szCs w:val="32"/>
          <w:highlight w:val="none"/>
        </w:rPr>
      </w:pPr>
      <w:r>
        <w:rPr>
          <w:rFonts w:hint="eastAsia" w:ascii="Times New Roman" w:hAnsi="Times New Roman" w:eastAsia="仿宋_GB2312" w:cs="仿宋"/>
          <w:b w:val="0"/>
          <w:bCs w:val="0"/>
          <w:w w:val="95"/>
          <w:sz w:val="32"/>
          <w:szCs w:val="32"/>
          <w:highlight w:val="none"/>
        </w:rPr>
        <w:t>三、202</w:t>
      </w:r>
      <w:r>
        <w:rPr>
          <w:rFonts w:hint="eastAsia" w:eastAsia="仿宋_GB2312" w:cs="仿宋"/>
          <w:b w:val="0"/>
          <w:bCs w:val="0"/>
          <w:w w:val="95"/>
          <w:sz w:val="32"/>
          <w:szCs w:val="32"/>
          <w:highlight w:val="none"/>
          <w:lang w:val="en-US" w:eastAsia="zh-CN"/>
        </w:rPr>
        <w:t>5</w:t>
      </w:r>
      <w:r>
        <w:rPr>
          <w:rFonts w:hint="eastAsia" w:ascii="Times New Roman" w:hAnsi="Times New Roman" w:eastAsia="仿宋_GB2312" w:cs="仿宋"/>
          <w:b w:val="0"/>
          <w:bCs w:val="0"/>
          <w:w w:val="95"/>
          <w:sz w:val="32"/>
          <w:szCs w:val="32"/>
          <w:highlight w:val="none"/>
        </w:rPr>
        <w:t>年度部门（单位）主要工作完成情况</w:t>
      </w:r>
    </w:p>
    <w:p w14:paraId="691C23FA">
      <w:pPr>
        <w:pageBreakBefore w:val="0"/>
        <w:widowControl/>
        <w:kinsoku/>
        <w:wordWrap/>
        <w:overflowPunct/>
        <w:topLinePunct w:val="0"/>
        <w:autoSpaceDE/>
        <w:autoSpaceDN/>
        <w:bidi w:val="0"/>
        <w:spacing w:line="580" w:lineRule="exact"/>
        <w:ind w:left="0" w:left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第二部分 部门（单位）决算情况说明</w:t>
      </w:r>
    </w:p>
    <w:p w14:paraId="77B2588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一、收入支出决算总体情况说明</w:t>
      </w:r>
    </w:p>
    <w:p w14:paraId="67090949">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二、收入决算情况说明</w:t>
      </w:r>
    </w:p>
    <w:p w14:paraId="479646B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三、支出决算情况说明</w:t>
      </w:r>
    </w:p>
    <w:p w14:paraId="3BC678DA">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四、财政拨款收入支出决算总体情况说明</w:t>
      </w:r>
    </w:p>
    <w:p w14:paraId="748FCC41">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五、一般公共预算财政拨款支出决算情况说明</w:t>
      </w:r>
    </w:p>
    <w:p w14:paraId="59F4317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六、一般公共预算财政拨款基本支出决算情况说明</w:t>
      </w:r>
    </w:p>
    <w:p w14:paraId="0DD36EB1">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七、一般公共预算财政拨款项目支出决算情况说明</w:t>
      </w:r>
    </w:p>
    <w:p w14:paraId="129004D2">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八、财政拨款“三公”经费支出决算情况说明</w:t>
      </w:r>
    </w:p>
    <w:p w14:paraId="4DABE4E8">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九、政府性基金预算财政拨款支出决算情况说明</w:t>
      </w:r>
    </w:p>
    <w:p w14:paraId="6D56FC7E">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十、国有资本经营预算财政拨款支出决算情况说明</w:t>
      </w:r>
    </w:p>
    <w:p w14:paraId="0A30D61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十一、机关运行经费（公用经费）支出决算情况说明</w:t>
      </w:r>
    </w:p>
    <w:p w14:paraId="2D2D161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十二、政府采购支出决算情况说明</w:t>
      </w:r>
    </w:p>
    <w:p w14:paraId="21C2D6E3">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十三、国有资产占用情况说明</w:t>
      </w:r>
    </w:p>
    <w:p w14:paraId="08ED9A77">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十四、预算绩效情况说明</w:t>
      </w:r>
    </w:p>
    <w:p w14:paraId="409894F8">
      <w:pPr>
        <w:pageBreakBefore w:val="0"/>
        <w:widowControl/>
        <w:kinsoku/>
        <w:wordWrap/>
        <w:overflowPunct/>
        <w:topLinePunct w:val="0"/>
        <w:autoSpaceDE/>
        <w:autoSpaceDN/>
        <w:bidi w:val="0"/>
        <w:spacing w:line="580" w:lineRule="exact"/>
        <w:ind w:left="0" w:left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第三部分 名词解释</w:t>
      </w:r>
    </w:p>
    <w:p w14:paraId="7B771477">
      <w:pPr>
        <w:pageBreakBefore w:val="0"/>
        <w:widowControl/>
        <w:kinsoku/>
        <w:wordWrap/>
        <w:overflowPunct/>
        <w:topLinePunct w:val="0"/>
        <w:autoSpaceDE/>
        <w:autoSpaceDN/>
        <w:bidi w:val="0"/>
        <w:spacing w:line="580" w:lineRule="exact"/>
        <w:ind w:left="0" w:leftChars="0"/>
        <w:jc w:val="left"/>
        <w:textAlignment w:val="auto"/>
        <w:rPr>
          <w:rFonts w:ascii="Times New Roman" w:hAnsi="Times New Roman" w:eastAsia="Times New Roman" w:cs="Times New Roman"/>
          <w:kern w:val="0"/>
          <w:sz w:val="24"/>
        </w:rPr>
      </w:pPr>
      <w:r>
        <w:rPr>
          <w:rFonts w:hint="eastAsia" w:ascii="黑体" w:hAnsi="黑体" w:eastAsia="黑体" w:cs="黑体"/>
          <w:b w:val="0"/>
          <w:bCs w:val="0"/>
          <w:kern w:val="0"/>
          <w:sz w:val="32"/>
          <w:szCs w:val="32"/>
        </w:rPr>
        <w:t>第四部分 决算公开联系方式及信息反馈</w:t>
      </w:r>
      <w:r>
        <w:rPr>
          <w:rFonts w:ascii="黑体" w:hAnsi="黑体" w:eastAsia="黑体" w:cs="黑体"/>
          <w:kern w:val="0"/>
          <w:sz w:val="27"/>
          <w:szCs w:val="27"/>
        </w:rPr>
        <w:t>渠道</w:t>
      </w:r>
    </w:p>
    <w:p w14:paraId="5009D772">
      <w:pPr>
        <w:pageBreakBefore w:val="0"/>
        <w:widowControl/>
        <w:kinsoku/>
        <w:wordWrap/>
        <w:overflowPunct/>
        <w:topLinePunct w:val="0"/>
        <w:autoSpaceDE/>
        <w:autoSpaceDN/>
        <w:bidi w:val="0"/>
        <w:spacing w:line="580" w:lineRule="exact"/>
        <w:ind w:left="0" w:leftChars="0"/>
        <w:jc w:val="left"/>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rPr>
        <w:t>第五部分 部门（单位）决算表</w:t>
      </w:r>
    </w:p>
    <w:p w14:paraId="34948F34">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一、收入支出决算总表</w:t>
      </w:r>
    </w:p>
    <w:p w14:paraId="19D2AABC">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二、收入决算表</w:t>
      </w:r>
    </w:p>
    <w:p w14:paraId="14D8F2E7">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三、支出决算表</w:t>
      </w:r>
    </w:p>
    <w:p w14:paraId="2977689D">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四、财政拨款收入支出决算总表</w:t>
      </w:r>
    </w:p>
    <w:p w14:paraId="50DF1C86">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五、一般公共预算财政拨款支出决算表</w:t>
      </w:r>
    </w:p>
    <w:p w14:paraId="527D9F51">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六、一般公共预算财政拨款基本支出决算明细表</w:t>
      </w:r>
    </w:p>
    <w:p w14:paraId="07A558A4">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七、一般公共预算财政拨款项目支出决算明细表</w:t>
      </w:r>
    </w:p>
    <w:p w14:paraId="3DF90BBD">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八、政府性基金预算财政拨款收入支出决算表</w:t>
      </w:r>
    </w:p>
    <w:p w14:paraId="27CAC68E">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九、国有资本经营预算财政拨款收入支出决算表</w:t>
      </w:r>
    </w:p>
    <w:p w14:paraId="2728936F">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十、财政拨款“三公”经费支出决算表</w:t>
      </w:r>
    </w:p>
    <w:p w14:paraId="70682F1C">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r>
        <w:rPr>
          <w:rFonts w:hint="eastAsia" w:ascii="仿宋_GB2312" w:hAnsi="仿宋_GB2312" w:eastAsia="仿宋_GB2312" w:cs="仿宋_GB2312"/>
          <w:b w:val="0"/>
          <w:bCs w:val="0"/>
          <w:kern w:val="0"/>
          <w:sz w:val="32"/>
          <w:szCs w:val="32"/>
        </w:rPr>
        <w:t>十一、机关运行经费支出、国有资产占用情况及政府采购支出信息表</w:t>
      </w:r>
    </w:p>
    <w:p w14:paraId="3210E1D8">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p>
    <w:p w14:paraId="7139929A">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p>
    <w:p w14:paraId="4806EF61">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p>
    <w:p w14:paraId="388FE6F8">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b w:val="0"/>
          <w:bCs w:val="0"/>
          <w:kern w:val="0"/>
          <w:sz w:val="32"/>
          <w:szCs w:val="32"/>
        </w:rPr>
      </w:pPr>
    </w:p>
    <w:p w14:paraId="28F5A12B">
      <w:pPr>
        <w:pStyle w:val="21"/>
        <w:rPr>
          <w:rFonts w:ascii="Times New Roman" w:hAnsi="Times New Roman" w:eastAsia="Times New Roman" w:cs="Times New Roman"/>
          <w:kern w:val="0"/>
          <w:sz w:val="24"/>
        </w:rPr>
      </w:pPr>
    </w:p>
    <w:p w14:paraId="0AC87826">
      <w:pPr>
        <w:pStyle w:val="21"/>
        <w:rPr>
          <w:rFonts w:ascii="Times New Roman" w:hAnsi="Times New Roman" w:eastAsia="Times New Roman" w:cs="Times New Roman"/>
          <w:kern w:val="0"/>
          <w:sz w:val="24"/>
        </w:rPr>
      </w:pPr>
    </w:p>
    <w:p w14:paraId="218BEEDB">
      <w:pPr>
        <w:pStyle w:val="21"/>
        <w:rPr>
          <w:rFonts w:ascii="Times New Roman" w:hAnsi="Times New Roman" w:eastAsia="Times New Roman" w:cs="Times New Roman"/>
          <w:kern w:val="0"/>
          <w:sz w:val="24"/>
        </w:rPr>
      </w:pPr>
    </w:p>
    <w:p w14:paraId="750FB383">
      <w:pPr>
        <w:pStyle w:val="21"/>
        <w:rPr>
          <w:rFonts w:ascii="Times New Roman" w:hAnsi="Times New Roman" w:eastAsia="Times New Roman" w:cs="Times New Roman"/>
          <w:kern w:val="0"/>
          <w:sz w:val="24"/>
        </w:rPr>
      </w:pPr>
    </w:p>
    <w:p w14:paraId="2676418D">
      <w:pPr>
        <w:pStyle w:val="21"/>
        <w:rPr>
          <w:rFonts w:ascii="Times New Roman" w:hAnsi="Times New Roman" w:eastAsia="Times New Roman" w:cs="Times New Roman"/>
          <w:kern w:val="0"/>
          <w:sz w:val="24"/>
        </w:rPr>
      </w:pPr>
    </w:p>
    <w:p w14:paraId="0E5F71D8">
      <w:pPr>
        <w:pStyle w:val="21"/>
        <w:rPr>
          <w:rFonts w:ascii="Times New Roman" w:hAnsi="Times New Roman" w:eastAsia="Times New Roman" w:cs="Times New Roman"/>
          <w:kern w:val="0"/>
          <w:sz w:val="24"/>
        </w:rPr>
      </w:pPr>
    </w:p>
    <w:p w14:paraId="2A44F674">
      <w:pPr>
        <w:pStyle w:val="21"/>
        <w:rPr>
          <w:rFonts w:ascii="Times New Roman" w:hAnsi="Times New Roman" w:eastAsia="Times New Roman" w:cs="Times New Roman"/>
          <w:kern w:val="0"/>
          <w:sz w:val="24"/>
        </w:rPr>
      </w:pPr>
    </w:p>
    <w:p w14:paraId="535946F4">
      <w:pPr>
        <w:pStyle w:val="21"/>
        <w:rPr>
          <w:rFonts w:ascii="Times New Roman" w:hAnsi="Times New Roman" w:eastAsia="Times New Roman" w:cs="Times New Roman"/>
          <w:kern w:val="0"/>
          <w:sz w:val="24"/>
        </w:rPr>
      </w:pPr>
    </w:p>
    <w:p w14:paraId="76DEA34C">
      <w:pPr>
        <w:pStyle w:val="21"/>
        <w:rPr>
          <w:rFonts w:ascii="Times New Roman" w:hAnsi="Times New Roman" w:eastAsia="Times New Roman" w:cs="Times New Roman"/>
          <w:kern w:val="0"/>
          <w:sz w:val="24"/>
        </w:rPr>
      </w:pPr>
    </w:p>
    <w:p w14:paraId="21E1E07F">
      <w:pPr>
        <w:pStyle w:val="21"/>
        <w:rPr>
          <w:rFonts w:ascii="Times New Roman" w:hAnsi="Times New Roman" w:eastAsia="Times New Roman" w:cs="Times New Roman"/>
          <w:kern w:val="0"/>
          <w:sz w:val="24"/>
        </w:rPr>
      </w:pPr>
    </w:p>
    <w:p w14:paraId="4A177267">
      <w:pPr>
        <w:pStyle w:val="21"/>
        <w:ind w:left="0" w:leftChars="0" w:firstLine="0" w:firstLineChars="0"/>
        <w:rPr>
          <w:rFonts w:ascii="Times New Roman" w:hAnsi="Times New Roman" w:eastAsia="Times New Roman" w:cs="Times New Roman"/>
          <w:kern w:val="0"/>
          <w:sz w:val="24"/>
        </w:rPr>
      </w:pPr>
    </w:p>
    <w:p w14:paraId="17FEF69D">
      <w:pPr>
        <w:pageBreakBefore w:val="0"/>
        <w:widowControl/>
        <w:kinsoku/>
        <w:wordWrap/>
        <w:overflowPunct/>
        <w:topLinePunct w:val="0"/>
        <w:autoSpaceDE/>
        <w:autoSpaceDN/>
        <w:bidi w:val="0"/>
        <w:spacing w:line="580" w:lineRule="exact"/>
        <w:ind w:left="0" w:leftChars="0"/>
        <w:jc w:val="center"/>
        <w:textAlignment w:val="auto"/>
        <w:rPr>
          <w:rFonts w:hint="eastAsia" w:ascii="方正小标宋简体" w:hAnsi="方正小标宋简体" w:eastAsia="方正小标宋简体" w:cs="方正小标宋简体"/>
          <w:b w:val="0"/>
          <w:bCs w:val="0"/>
          <w:color w:val="000000"/>
          <w:kern w:val="0"/>
          <w:sz w:val="36"/>
          <w:szCs w:val="36"/>
        </w:rPr>
      </w:pPr>
      <w:r>
        <w:rPr>
          <w:rFonts w:hint="eastAsia" w:ascii="方正小标宋简体" w:hAnsi="方正小标宋简体" w:eastAsia="方正小标宋简体" w:cs="方正小标宋简体"/>
          <w:b w:val="0"/>
          <w:bCs w:val="0"/>
          <w:color w:val="000000"/>
          <w:kern w:val="0"/>
          <w:sz w:val="36"/>
          <w:szCs w:val="36"/>
        </w:rPr>
        <w:t>第一部分 单位概况</w:t>
      </w:r>
    </w:p>
    <w:p w14:paraId="3AB366A6">
      <w:pPr>
        <w:widowControl/>
        <w:spacing w:before="240" w:after="240"/>
        <w:jc w:val="left"/>
        <w:rPr>
          <w:rFonts w:ascii="Times New Roman" w:hAnsi="Times New Roman" w:eastAsia="Times New Roman" w:cs="Times New Roman"/>
          <w:kern w:val="0"/>
          <w:sz w:val="28"/>
          <w:szCs w:val="28"/>
        </w:rPr>
      </w:pPr>
      <w:r>
        <w:rPr>
          <w:rFonts w:ascii="Calibri" w:hAnsi="Calibri" w:eastAsia="Calibri" w:cs="Calibri"/>
          <w:b/>
          <w:bCs/>
          <w:kern w:val="0"/>
          <w:sz w:val="32"/>
          <w:szCs w:val="32"/>
        </w:rPr>
        <w:t> </w:t>
      </w:r>
      <w:r>
        <w:rPr>
          <w:rFonts w:ascii="黑体" w:hAnsi="黑体" w:eastAsia="黑体" w:cs="黑体"/>
          <w:b/>
          <w:bCs/>
          <w:kern w:val="0"/>
          <w:sz w:val="32"/>
          <w:szCs w:val="32"/>
        </w:rPr>
        <w:t xml:space="preserve"> </w:t>
      </w:r>
      <w:r>
        <w:rPr>
          <w:rFonts w:ascii="Calibri" w:hAnsi="Calibri" w:eastAsia="Calibri" w:cs="Calibri"/>
          <w:b/>
          <w:bCs/>
          <w:kern w:val="0"/>
          <w:sz w:val="32"/>
          <w:szCs w:val="32"/>
        </w:rPr>
        <w:t> </w:t>
      </w:r>
      <w:r>
        <w:rPr>
          <w:rFonts w:hint="eastAsia" w:ascii="Calibri" w:hAnsi="Calibri" w:cs="Calibri"/>
          <w:b/>
          <w:bCs/>
          <w:kern w:val="0"/>
          <w:sz w:val="32"/>
          <w:szCs w:val="32"/>
          <w:lang w:val="en-US" w:eastAsia="zh-CN"/>
        </w:rPr>
        <w:t xml:space="preserve"> </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 xml:space="preserve"> 一、主要职能、职责</w:t>
      </w:r>
    </w:p>
    <w:p w14:paraId="7E3D57D0">
      <w:pPr>
        <w:pageBreakBefore w:val="0"/>
        <w:widowControl/>
        <w:kinsoku/>
        <w:wordWrap/>
        <w:overflowPunct/>
        <w:topLinePunct w:val="0"/>
        <w:autoSpaceDE/>
        <w:autoSpaceDN/>
        <w:bidi w:val="0"/>
        <w:spacing w:line="580" w:lineRule="exact"/>
        <w:ind w:left="0" w:leftChars="0" w:firstLine="560" w:firstLineChars="200"/>
        <w:jc w:val="left"/>
        <w:textAlignment w:val="auto"/>
        <w:rPr>
          <w:rFonts w:hint="eastAsia" w:ascii="仿宋_GB2312" w:hAnsi="仿宋_GB2312" w:eastAsia="仿宋_GB2312" w:cs="仿宋_GB2312"/>
          <w:color w:val="auto"/>
          <w:sz w:val="32"/>
          <w:szCs w:val="32"/>
        </w:rPr>
      </w:pPr>
      <w:r>
        <w:rPr>
          <w:rFonts w:ascii="仿宋_GB2312" w:hAnsi="仿宋_GB2312" w:eastAsia="仿宋_GB2312" w:cs="仿宋_GB2312"/>
          <w:color w:val="0E00FE"/>
          <w:kern w:val="0"/>
          <w:sz w:val="28"/>
          <w:szCs w:val="28"/>
        </w:rPr>
        <w:t xml:space="preserve"> </w:t>
      </w:r>
      <w:r>
        <w:rPr>
          <w:rFonts w:hint="eastAsia" w:ascii="仿宋_GB2312" w:hAnsi="仿宋_GB2312" w:eastAsia="仿宋_GB2312" w:cs="仿宋_GB2312"/>
          <w:color w:val="auto"/>
          <w:sz w:val="32"/>
          <w:szCs w:val="32"/>
        </w:rPr>
        <w:t>1、贯彻落实国家、赤峰市关于强制隔离戒毒的法律法规和有关政策、规划；研究拟订强制隔离戒毒地方性法规规章草案；参与拟订强制隔离戒毒发展战略和规划，指导强制隔离戒毒行业体制改革工作。</w:t>
      </w:r>
    </w:p>
    <w:p w14:paraId="2FE4740D">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2、负责强制隔离戒毒市场监督管理责任；组织拟订强制隔离戒毒有关政策、准入制度、技术标准等措施办法并监督实施；指导强制隔离戒毒及有关设施规划和管理工作；承担强制隔离戒毒行业管理工作</w:t>
      </w:r>
      <w:r>
        <w:rPr>
          <w:rFonts w:hint="eastAsia" w:ascii="仿宋_GB2312" w:hAnsi="仿宋_GB2312" w:eastAsia="仿宋_GB2312" w:cs="仿宋_GB2312"/>
          <w:color w:val="auto"/>
          <w:sz w:val="32"/>
          <w:szCs w:val="32"/>
          <w:lang w:eastAsia="zh-CN"/>
        </w:rPr>
        <w:t>；</w:t>
      </w:r>
      <w:r>
        <w:rPr>
          <w:rFonts w:hint="eastAsia" w:ascii="仿宋_GB2312" w:hAnsi="仿宋_GB2312" w:eastAsia="仿宋_GB2312" w:cs="仿宋_GB2312"/>
          <w:color w:val="auto"/>
          <w:sz w:val="32"/>
          <w:szCs w:val="32"/>
        </w:rPr>
        <w:t xml:space="preserve"> </w:t>
      </w:r>
    </w:p>
    <w:p w14:paraId="60229863">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3、依照法规，及时准确</w:t>
      </w:r>
      <w:r>
        <w:rPr>
          <w:rFonts w:hint="eastAsia" w:ascii="仿宋_GB2312" w:hAnsi="仿宋_GB2312" w:eastAsia="仿宋_GB2312" w:cs="仿宋_GB2312"/>
          <w:color w:val="auto"/>
          <w:sz w:val="32"/>
          <w:szCs w:val="32"/>
        </w:rPr>
        <w:fldChar w:fldCharType="begin"/>
      </w:r>
      <w:r>
        <w:rPr>
          <w:rFonts w:hint="eastAsia" w:ascii="仿宋_GB2312" w:hAnsi="仿宋_GB2312" w:eastAsia="仿宋_GB2312" w:cs="仿宋_GB2312"/>
          <w:color w:val="auto"/>
          <w:sz w:val="32"/>
          <w:szCs w:val="32"/>
        </w:rPr>
        <w:instrText xml:space="preserve"> HYPERLINK "http://baike.baidu.com/view/746464.htm" \t "_blank" </w:instrText>
      </w:r>
      <w:r>
        <w:rPr>
          <w:rFonts w:hint="eastAsia" w:ascii="仿宋_GB2312" w:hAnsi="仿宋_GB2312" w:eastAsia="仿宋_GB2312" w:cs="仿宋_GB2312"/>
          <w:color w:val="auto"/>
          <w:sz w:val="32"/>
          <w:szCs w:val="32"/>
        </w:rPr>
        <w:fldChar w:fldCharType="separate"/>
      </w:r>
      <w:r>
        <w:rPr>
          <w:rFonts w:hint="eastAsia" w:ascii="仿宋_GB2312" w:hAnsi="仿宋_GB2312" w:eastAsia="仿宋_GB2312" w:cs="仿宋_GB2312"/>
          <w:color w:val="auto"/>
          <w:sz w:val="32"/>
          <w:szCs w:val="32"/>
        </w:rPr>
        <w:t>收容</w:t>
      </w:r>
      <w:r>
        <w:rPr>
          <w:rFonts w:hint="eastAsia" w:ascii="仿宋_GB2312" w:hAnsi="仿宋_GB2312" w:eastAsia="仿宋_GB2312" w:cs="仿宋_GB2312"/>
          <w:color w:val="auto"/>
          <w:sz w:val="32"/>
          <w:szCs w:val="32"/>
        </w:rPr>
        <w:fldChar w:fldCharType="end"/>
      </w:r>
      <w:r>
        <w:rPr>
          <w:rFonts w:hint="eastAsia" w:ascii="仿宋_GB2312" w:hAnsi="仿宋_GB2312" w:eastAsia="仿宋_GB2312" w:cs="仿宋_GB2312"/>
          <w:color w:val="auto"/>
          <w:sz w:val="32"/>
          <w:szCs w:val="32"/>
        </w:rPr>
        <w:t>吸毒人员，维护场所安全；</w:t>
      </w:r>
    </w:p>
    <w:p w14:paraId="6263078A">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4、依照法规，对吸毒人员实行严格管理，维护其合法权益，并实施奖惩；</w:t>
      </w:r>
    </w:p>
    <w:p w14:paraId="23FF0AEF">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5、遵循“教育、感化、挽救”的工作方针，负责对吸毒人员的政治、文化和职业技能教育；</w:t>
      </w:r>
    </w:p>
    <w:p w14:paraId="653D8726">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6、负责组织吸毒人员从事生产劳动，提高劳动技能；</w:t>
      </w:r>
    </w:p>
    <w:p w14:paraId="3E92E858">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7、依照《禁毒法》，做好强制隔离戒毒人员收治、管理和教育工作；做好强制隔离戒毒人员针对性生理、心理治疗和身体康复训练工作；做好强制隔离戒毒人员诊断评估工作；</w:t>
      </w:r>
    </w:p>
    <w:p w14:paraId="200A1329">
      <w:pPr>
        <w:pageBreakBefore w:val="0"/>
        <w:widowControl/>
        <w:kinsoku/>
        <w:wordWrap/>
        <w:overflowPunct/>
        <w:topLinePunct w:val="0"/>
        <w:autoSpaceDE/>
        <w:autoSpaceDN/>
        <w:bidi w:val="0"/>
        <w:spacing w:line="580" w:lineRule="exact"/>
        <w:ind w:left="0" w:leftChars="0" w:firstLine="640" w:firstLineChars="200"/>
        <w:jc w:val="left"/>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8、开展戒毒康复、心理矫治、职业培训和就业指导，对解除吸毒人员和社会上有吸毒史的戒毒康复人员提供过渡性安置，坚持依法、严格、文明、科学的方针，负责对学员进行政治思想教育、文化教育、技术教育及职业技能培训，负责组织学员进行生产劳动，发挥技能培训和就业指导功能</w:t>
      </w:r>
      <w:r>
        <w:rPr>
          <w:rFonts w:hint="eastAsia" w:ascii="仿宋_GB2312" w:hAnsi="仿宋_GB2312" w:eastAsia="仿宋_GB2312" w:cs="仿宋_GB2312"/>
          <w:color w:val="auto"/>
          <w:sz w:val="32"/>
          <w:szCs w:val="32"/>
          <w:lang w:eastAsia="zh-CN"/>
        </w:rPr>
        <w:t>。</w:t>
      </w:r>
    </w:p>
    <w:p w14:paraId="2DD097DE">
      <w:pPr>
        <w:pageBreakBefore w:val="0"/>
        <w:widowControl/>
        <w:kinsoku/>
        <w:wordWrap/>
        <w:overflowPunct/>
        <w:topLinePunct w:val="0"/>
        <w:autoSpaceDE/>
        <w:autoSpaceDN/>
        <w:bidi w:val="0"/>
        <w:spacing w:line="580" w:lineRule="exact"/>
        <w:ind w:left="0" w:leftChars="0" w:firstLine="643" w:firstLineChars="200"/>
        <w:jc w:val="left"/>
        <w:textAlignment w:val="auto"/>
        <w:rPr>
          <w:rFonts w:hint="eastAsia" w:ascii="黑体" w:hAnsi="黑体" w:eastAsia="黑体" w:cs="黑体"/>
          <w:b/>
          <w:bCs/>
          <w:kern w:val="0"/>
          <w:sz w:val="32"/>
          <w:szCs w:val="32"/>
        </w:rPr>
      </w:pPr>
      <w:r>
        <w:rPr>
          <w:rFonts w:hint="eastAsia" w:ascii="黑体" w:hAnsi="黑体" w:eastAsia="黑体" w:cs="黑体"/>
          <w:b/>
          <w:bCs/>
          <w:kern w:val="0"/>
          <w:sz w:val="32"/>
          <w:szCs w:val="32"/>
          <w:lang w:val="en-US" w:eastAsia="zh-CN"/>
        </w:rPr>
        <w:t>二、</w:t>
      </w:r>
      <w:r>
        <w:rPr>
          <w:rFonts w:hint="eastAsia" w:ascii="黑体" w:hAnsi="黑体" w:eastAsia="黑体" w:cs="黑体"/>
          <w:b/>
          <w:bCs/>
          <w:kern w:val="0"/>
          <w:sz w:val="32"/>
          <w:szCs w:val="32"/>
        </w:rPr>
        <w:t>部门（单位）机构设置及决算单位构成情况</w:t>
      </w:r>
    </w:p>
    <w:p w14:paraId="5FB79E0A">
      <w:pPr>
        <w:pageBreakBefore w:val="0"/>
        <w:kinsoku/>
        <w:wordWrap/>
        <w:overflowPunct/>
        <w:topLinePunct w:val="0"/>
        <w:autoSpaceDE/>
        <w:autoSpaceDN/>
        <w:bidi w:val="0"/>
        <w:spacing w:line="580" w:lineRule="exact"/>
        <w:ind w:left="0" w:leftChars="0" w:firstLine="600"/>
        <w:textAlignment w:val="auto"/>
        <w:rPr>
          <w:rFonts w:hint="eastAsia" w:ascii="仿宋_GB2312" w:hAnsi="仿宋_GB2312" w:eastAsia="仿宋_GB2312" w:cs="仿宋_GB2312"/>
          <w:kern w:val="0"/>
          <w:sz w:val="32"/>
          <w:szCs w:val="32"/>
          <w:lang w:eastAsia="zh-CN"/>
        </w:rPr>
      </w:pPr>
      <w:r>
        <w:rPr>
          <w:rFonts w:hint="eastAsia" w:ascii="仿宋_GB2312" w:hAnsi="仿宋_GB2312" w:eastAsia="仿宋_GB2312" w:cs="仿宋_GB2312"/>
          <w:kern w:val="0"/>
          <w:sz w:val="32"/>
          <w:szCs w:val="32"/>
        </w:rPr>
        <w:t> 1.根据</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职责分工，本</w:t>
      </w:r>
      <w:r>
        <w:rPr>
          <w:rFonts w:hint="eastAsia" w:ascii="仿宋_GB2312" w:hAnsi="仿宋_GB2312" w:eastAsia="仿宋_GB2312" w:cs="仿宋_GB2312"/>
          <w:kern w:val="0"/>
          <w:sz w:val="32"/>
          <w:szCs w:val="32"/>
          <w:lang w:eastAsia="zh-CN"/>
        </w:rPr>
        <w:t>单位</w:t>
      </w:r>
      <w:r>
        <w:rPr>
          <w:rFonts w:hint="eastAsia" w:ascii="仿宋_GB2312" w:hAnsi="仿宋_GB2312" w:eastAsia="仿宋_GB2312" w:cs="仿宋_GB2312"/>
          <w:kern w:val="0"/>
          <w:sz w:val="32"/>
          <w:szCs w:val="32"/>
        </w:rPr>
        <w:t>内设机构包括</w:t>
      </w:r>
      <w:r>
        <w:rPr>
          <w:rFonts w:hint="eastAsia" w:ascii="仿宋_GB2312" w:hAnsi="仿宋_GB2312" w:eastAsia="仿宋_GB2312" w:cs="仿宋_GB2312"/>
          <w:kern w:val="0"/>
          <w:sz w:val="32"/>
          <w:szCs w:val="32"/>
          <w:lang w:eastAsia="zh-CN"/>
        </w:rPr>
        <w:t>党办、办公室、人事警务科、戒毒医疗中心、教育矫正中心、心理矫正中心、康复训练中心、诊断评估中心、综合管理大队、第一戒毒大队、第二戒毒大队</w:t>
      </w:r>
      <w:r>
        <w:rPr>
          <w:rFonts w:hint="eastAsia" w:ascii="仿宋_GB2312" w:hAnsi="仿宋_GB2312" w:eastAsia="仿宋_GB2312" w:cs="仿宋_GB2312"/>
          <w:kern w:val="0"/>
          <w:sz w:val="32"/>
          <w:szCs w:val="32"/>
        </w:rPr>
        <w:t>。本单位无下属单位</w:t>
      </w:r>
      <w:r>
        <w:rPr>
          <w:rFonts w:hint="eastAsia" w:ascii="仿宋_GB2312" w:hAnsi="仿宋_GB2312" w:eastAsia="仿宋_GB2312" w:cs="仿宋_GB2312"/>
          <w:kern w:val="0"/>
          <w:sz w:val="32"/>
          <w:szCs w:val="32"/>
          <w:lang w:eastAsia="zh-CN"/>
        </w:rPr>
        <w:t>。</w:t>
      </w:r>
    </w:p>
    <w:p w14:paraId="4F0A5AB6">
      <w:pPr>
        <w:pageBreakBefore w:val="0"/>
        <w:kinsoku/>
        <w:wordWrap/>
        <w:overflowPunct/>
        <w:topLinePunct w:val="0"/>
        <w:autoSpaceDE/>
        <w:autoSpaceDN/>
        <w:bidi w:val="0"/>
        <w:spacing w:line="58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2.从决算单位构成看，纳入本</w:t>
      </w:r>
      <w:r>
        <w:rPr>
          <w:rFonts w:hint="eastAsia" w:ascii="仿宋_GB2312" w:hAnsi="仿宋_GB2312" w:eastAsia="仿宋_GB2312" w:cs="仿宋_GB2312"/>
          <w:kern w:val="0"/>
          <w:sz w:val="32"/>
          <w:szCs w:val="32"/>
          <w:lang w:val="en-US" w:eastAsia="zh-CN"/>
        </w:rPr>
        <w:t>单位</w:t>
      </w:r>
      <w:r>
        <w:rPr>
          <w:rFonts w:hint="eastAsia" w:ascii="仿宋_GB2312" w:hAnsi="仿宋_GB2312" w:eastAsia="仿宋_GB2312" w:cs="仿宋_GB2312"/>
          <w:kern w:val="0"/>
          <w:sz w:val="32"/>
          <w:szCs w:val="32"/>
        </w:rPr>
        <w:t>财政汇总决算编制范围的预算单位共计</w:t>
      </w: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家，</w:t>
      </w:r>
      <w:r>
        <w:rPr>
          <w:rFonts w:hint="eastAsia" w:ascii="仿宋_GB2312" w:hAnsi="仿宋_GB2312" w:eastAsia="仿宋_GB2312" w:cs="仿宋_GB2312"/>
          <w:kern w:val="0"/>
          <w:sz w:val="32"/>
          <w:szCs w:val="32"/>
          <w:lang w:val="en-US" w:eastAsia="zh-CN"/>
        </w:rPr>
        <w:t>具体包括：赤峰市强制隔离戒毒所本级。</w:t>
      </w:r>
      <w:r>
        <w:rPr>
          <w:rFonts w:hint="eastAsia" w:ascii="仿宋_GB2312" w:hAnsi="仿宋_GB2312" w:eastAsia="仿宋_GB2312" w:cs="仿宋_GB2312"/>
          <w:kern w:val="0"/>
          <w:sz w:val="32"/>
          <w:szCs w:val="32"/>
        </w:rPr>
        <w:t>详细情况见表：</w:t>
      </w:r>
    </w:p>
    <w:tbl>
      <w:tblPr>
        <w:tblStyle w:val="22"/>
        <w:tblpPr w:leftFromText="180" w:rightFromText="180" w:vertAnchor="text" w:horzAnchor="page" w:tblpX="1183" w:tblpY="535"/>
        <w:tblOverlap w:val="never"/>
        <w:tblW w:w="9930" w:type="dxa"/>
        <w:tblCellSpacing w:w="15" w:type="dxa"/>
        <w:tblInd w:w="0"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15" w:type="dxa"/>
          <w:left w:w="15" w:type="dxa"/>
          <w:bottom w:w="15" w:type="dxa"/>
          <w:right w:w="15" w:type="dxa"/>
        </w:tblCellMar>
      </w:tblPr>
      <w:tblGrid>
        <w:gridCol w:w="1613"/>
        <w:gridCol w:w="4740"/>
        <w:gridCol w:w="3577"/>
      </w:tblGrid>
      <w:tr w14:paraId="485CE949">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535" w:hRule="atLeast"/>
          <w:tblHeader/>
          <w:tblCellSpacing w:w="15" w:type="dxa"/>
        </w:trPr>
        <w:tc>
          <w:tcPr>
            <w:tcW w:w="1568"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404B219">
            <w:pPr>
              <w:pageBreakBefore w:val="0"/>
              <w:kinsoku/>
              <w:wordWrap/>
              <w:overflowPunct/>
              <w:topLinePunct w:val="0"/>
              <w:autoSpaceDE/>
              <w:autoSpaceDN/>
              <w:bidi w:val="0"/>
              <w:spacing w:line="580" w:lineRule="exact"/>
              <w:ind w:firstLine="320" w:firstLineChars="10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序号</w:t>
            </w:r>
          </w:p>
        </w:tc>
        <w:tc>
          <w:tcPr>
            <w:tcW w:w="4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EC4E14E">
            <w:pPr>
              <w:pageBreakBefore w:val="0"/>
              <w:kinsoku/>
              <w:wordWrap/>
              <w:overflowPunct/>
              <w:topLinePunct w:val="0"/>
              <w:autoSpaceDE/>
              <w:autoSpaceDN/>
              <w:bidi w:val="0"/>
              <w:spacing w:line="580" w:lineRule="exact"/>
              <w:ind w:firstLine="1600" w:firstLineChars="5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单位名称</w:t>
            </w:r>
          </w:p>
        </w:tc>
        <w:tc>
          <w:tcPr>
            <w:tcW w:w="353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3CFA4B32">
            <w:pPr>
              <w:pageBreakBefore w:val="0"/>
              <w:kinsoku/>
              <w:wordWrap/>
              <w:overflowPunct/>
              <w:topLinePunct w:val="0"/>
              <w:autoSpaceDE/>
              <w:autoSpaceDN/>
              <w:bidi w:val="0"/>
              <w:spacing w:line="580" w:lineRule="exact"/>
              <w:ind w:firstLine="960" w:firstLineChars="3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单位性质</w:t>
            </w:r>
          </w:p>
        </w:tc>
      </w:tr>
      <w:tr w14:paraId="15D9E501">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15" w:type="dxa"/>
            <w:left w:w="15" w:type="dxa"/>
            <w:bottom w:w="15" w:type="dxa"/>
            <w:right w:w="15" w:type="dxa"/>
          </w:tblCellMar>
        </w:tblPrEx>
        <w:trPr>
          <w:trHeight w:val="424" w:hRule="atLeast"/>
          <w:tblCellSpacing w:w="15" w:type="dxa"/>
        </w:trPr>
        <w:tc>
          <w:tcPr>
            <w:tcW w:w="1568"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7D6909E0">
            <w:pPr>
              <w:pageBreakBefore w:val="0"/>
              <w:kinsoku/>
              <w:wordWrap/>
              <w:overflowPunct/>
              <w:topLinePunct w:val="0"/>
              <w:autoSpaceDE/>
              <w:autoSpaceDN/>
              <w:bidi w:val="0"/>
              <w:spacing w:line="580" w:lineRule="exact"/>
              <w:ind w:left="0" w:leftChars="0" w:firstLine="6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w:t>
            </w:r>
          </w:p>
        </w:tc>
        <w:tc>
          <w:tcPr>
            <w:tcW w:w="4710"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C1D58DD">
            <w:pPr>
              <w:pageBreakBefore w:val="0"/>
              <w:kinsoku/>
              <w:wordWrap/>
              <w:overflowPunct/>
              <w:topLinePunct w:val="0"/>
              <w:autoSpaceDE/>
              <w:autoSpaceDN/>
              <w:bidi w:val="0"/>
              <w:spacing w:line="58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eastAsia="zh-CN"/>
              </w:rPr>
              <w:t>赤峰市强制隔离戒毒所</w:t>
            </w:r>
            <w:r>
              <w:rPr>
                <w:rFonts w:hint="eastAsia" w:ascii="仿宋_GB2312" w:hAnsi="仿宋_GB2312" w:eastAsia="仿宋_GB2312" w:cs="仿宋_GB2312"/>
                <w:kern w:val="0"/>
                <w:sz w:val="32"/>
                <w:szCs w:val="32"/>
              </w:rPr>
              <w:t>（本级）</w:t>
            </w:r>
          </w:p>
        </w:tc>
        <w:tc>
          <w:tcPr>
            <w:tcW w:w="3532" w:type="dxa"/>
            <w:tcBorders>
              <w:top w:val="inset" w:color="808080" w:sz="6" w:space="0"/>
              <w:left w:val="inset" w:color="808080" w:sz="6" w:space="0"/>
              <w:bottom w:val="inset" w:color="808080" w:sz="6" w:space="0"/>
              <w:right w:val="inset" w:color="808080" w:sz="6" w:space="0"/>
            </w:tcBorders>
            <w:noWrap w:val="0"/>
            <w:tcMar>
              <w:top w:w="22" w:type="dxa"/>
              <w:left w:w="22" w:type="dxa"/>
              <w:bottom w:w="22" w:type="dxa"/>
              <w:right w:w="22" w:type="dxa"/>
            </w:tcMar>
            <w:vAlign w:val="center"/>
          </w:tcPr>
          <w:p w14:paraId="4F514D4D">
            <w:pPr>
              <w:pageBreakBefore w:val="0"/>
              <w:kinsoku/>
              <w:wordWrap/>
              <w:overflowPunct/>
              <w:topLinePunct w:val="0"/>
              <w:autoSpaceDE/>
              <w:autoSpaceDN/>
              <w:bidi w:val="0"/>
              <w:spacing w:line="580" w:lineRule="exac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财政拨款的行政单位</w:t>
            </w:r>
          </w:p>
        </w:tc>
      </w:tr>
    </w:tbl>
    <w:p w14:paraId="3014F817">
      <w:pPr>
        <w:pageBreakBefore w:val="0"/>
        <w:kinsoku/>
        <w:wordWrap/>
        <w:overflowPunct/>
        <w:topLinePunct w:val="0"/>
        <w:autoSpaceDE/>
        <w:autoSpaceDN/>
        <w:bidi w:val="0"/>
        <w:spacing w:line="580" w:lineRule="exact"/>
        <w:ind w:left="0" w:leftChars="0" w:firstLine="600"/>
        <w:textAlignment w:val="auto"/>
        <w:rPr>
          <w:rFonts w:hint="eastAsia" w:ascii="仿宋_GB2312" w:hAnsi="仿宋_GB2312" w:eastAsia="仿宋_GB2312" w:cs="仿宋_GB2312"/>
          <w:kern w:val="0"/>
          <w:sz w:val="32"/>
          <w:szCs w:val="32"/>
          <w:lang w:eastAsia="zh-CN"/>
        </w:rPr>
      </w:pPr>
    </w:p>
    <w:p w14:paraId="31EEC6A3">
      <w:pPr>
        <w:widowControl/>
        <w:spacing w:before="240" w:after="240"/>
        <w:jc w:val="left"/>
        <w:rPr>
          <w:rFonts w:ascii="Times New Roman" w:hAnsi="Times New Roman" w:eastAsia="Times New Roman" w:cs="Times New Roman"/>
          <w:kern w:val="0"/>
          <w:sz w:val="28"/>
          <w:szCs w:val="28"/>
        </w:rPr>
      </w:pPr>
      <w:r>
        <w:rPr>
          <w:rFonts w:ascii="Calibri" w:hAnsi="Calibri" w:eastAsia="Calibri" w:cs="Calibri"/>
          <w:color w:val="0E00FE"/>
          <w:kern w:val="0"/>
          <w:sz w:val="27"/>
          <w:szCs w:val="27"/>
        </w:rPr>
        <w:t> </w:t>
      </w:r>
      <w:r>
        <w:rPr>
          <w:rFonts w:ascii="仿宋_GB2312" w:hAnsi="仿宋_GB2312" w:eastAsia="仿宋_GB2312" w:cs="仿宋_GB2312"/>
          <w:color w:val="0E00FE"/>
          <w:kern w:val="0"/>
          <w:sz w:val="32"/>
          <w:szCs w:val="32"/>
        </w:rPr>
        <w:t xml:space="preserve"> </w:t>
      </w:r>
      <w:r>
        <w:rPr>
          <w:rFonts w:ascii="Calibri" w:hAnsi="Calibri" w:eastAsia="Calibri" w:cs="Calibri"/>
          <w:b/>
          <w:bCs/>
          <w:kern w:val="0"/>
          <w:sz w:val="32"/>
          <w:szCs w:val="32"/>
        </w:rPr>
        <w:t> </w:t>
      </w:r>
      <w:r>
        <w:rPr>
          <w:rFonts w:ascii="黑体" w:hAnsi="黑体" w:eastAsia="黑体" w:cs="黑体"/>
          <w:b/>
          <w:bCs/>
          <w:kern w:val="0"/>
          <w:sz w:val="28"/>
          <w:szCs w:val="28"/>
        </w:rPr>
        <w:t xml:space="preserve"> </w:t>
      </w:r>
      <w:r>
        <w:rPr>
          <w:rFonts w:hint="eastAsia" w:ascii="黑体" w:hAnsi="黑体" w:eastAsia="黑体" w:cs="黑体"/>
          <w:b/>
          <w:bCs/>
          <w:kern w:val="0"/>
          <w:sz w:val="32"/>
          <w:szCs w:val="32"/>
        </w:rPr>
        <w:t>  三、202</w:t>
      </w:r>
      <w:r>
        <w:rPr>
          <w:rFonts w:hint="eastAsia" w:ascii="黑体" w:hAnsi="黑体" w:eastAsia="黑体" w:cs="黑体"/>
          <w:b/>
          <w:bCs/>
          <w:kern w:val="0"/>
          <w:sz w:val="32"/>
          <w:szCs w:val="32"/>
          <w:lang w:val="en-US" w:eastAsia="zh-CN"/>
        </w:rPr>
        <w:t>5</w:t>
      </w:r>
      <w:r>
        <w:rPr>
          <w:rFonts w:hint="eastAsia" w:ascii="黑体" w:hAnsi="黑体" w:eastAsia="黑体" w:cs="黑体"/>
          <w:b/>
          <w:bCs/>
          <w:kern w:val="0"/>
          <w:sz w:val="32"/>
          <w:szCs w:val="32"/>
        </w:rPr>
        <w:t>年度部门（单位）主要工作完成情况</w:t>
      </w:r>
    </w:p>
    <w:p w14:paraId="67CC0D2E">
      <w:pPr>
        <w:pStyle w:val="20"/>
        <w:keepNext w:val="0"/>
        <w:keepLines w:val="0"/>
        <w:widowControl/>
        <w:suppressLineNumbers w:val="0"/>
        <w:shd w:val="clear" w:fill="FFFFFF"/>
        <w:ind w:left="0" w:firstLine="0"/>
        <w:rPr>
          <w:rFonts w:hint="eastAsia" w:ascii="仿宋_GB2312" w:hAnsi="仿宋_GB2312" w:eastAsia="仿宋_GB2312" w:cs="仿宋_GB2312"/>
          <w:b w:val="0"/>
          <w:bCs/>
          <w:kern w:val="2"/>
          <w:sz w:val="32"/>
          <w:szCs w:val="32"/>
          <w:lang w:val="en-US" w:eastAsia="zh-CN" w:bidi="ar-SA"/>
        </w:rPr>
      </w:pPr>
      <w:r>
        <w:rPr>
          <w:rFonts w:hint="eastAsia" w:cs="Times New Roman"/>
          <w:kern w:val="0"/>
          <w:sz w:val="24"/>
          <w:lang w:val="en-US" w:eastAsia="zh-CN"/>
        </w:rPr>
        <w:t xml:space="preserve">  </w:t>
      </w:r>
      <w:r>
        <w:rPr>
          <w:rFonts w:hint="eastAsia" w:cs="Times New Roman"/>
          <w:kern w:val="0"/>
          <w:sz w:val="28"/>
          <w:szCs w:val="28"/>
          <w:lang w:val="en-US" w:eastAsia="zh-CN"/>
        </w:rPr>
        <w:t xml:space="preserve">  </w:t>
      </w:r>
      <w:r>
        <w:rPr>
          <w:rFonts w:hint="eastAsia" w:ascii="仿宋_GB2312" w:hAnsi="仿宋_GB2312" w:eastAsia="仿宋_GB2312" w:cs="仿宋_GB2312"/>
          <w:b w:val="0"/>
          <w:bCs/>
          <w:kern w:val="2"/>
          <w:sz w:val="32"/>
          <w:szCs w:val="32"/>
          <w:lang w:val="en-US" w:eastAsia="zh-CN" w:bidi="ar-SA"/>
        </w:rPr>
        <w:t xml:space="preserve"> 2025年，所党委团结带领广大民警职工，多点发力、多线作战，积极应对形势变化，主动破解发展难题，参与社区矫正工作、落实“一体两翼”推动戒毒社会化延伸、场所日常业务工作齐头并进，成效明显，充分彰显了司法行政戒毒机关新作为、新担当，展现了戒毒人民警察新形象、新素质，为平安法治赤峰建设作出了积极贡献。</w:t>
      </w:r>
    </w:p>
    <w:p w14:paraId="67AE3135">
      <w:pPr>
        <w:pStyle w:val="20"/>
        <w:keepNext w:val="0"/>
        <w:keepLines w:val="0"/>
        <w:widowControl/>
        <w:suppressLineNumbers w:val="0"/>
        <w:shd w:val="clear" w:fill="FFFFFF"/>
        <w:ind w:left="0" w:firstLine="0"/>
        <w:rPr>
          <w:rFonts w:hint="eastAsia" w:ascii="仿宋_GB2312" w:eastAsia="仿宋_GB2312"/>
          <w:color w:val="auto"/>
          <w:sz w:val="28"/>
          <w:szCs w:val="28"/>
        </w:rPr>
      </w:pPr>
    </w:p>
    <w:p w14:paraId="61BF4CF6">
      <w:pPr>
        <w:pStyle w:val="20"/>
        <w:keepNext w:val="0"/>
        <w:keepLines w:val="0"/>
        <w:widowControl/>
        <w:suppressLineNumbers w:val="0"/>
        <w:shd w:val="clear" w:fill="FFFFFF"/>
        <w:ind w:left="0" w:firstLine="0"/>
        <w:rPr>
          <w:rFonts w:hint="eastAsia" w:ascii="仿宋_GB2312" w:eastAsia="仿宋_GB2312"/>
          <w:color w:val="auto"/>
          <w:sz w:val="28"/>
          <w:szCs w:val="28"/>
        </w:rPr>
      </w:pPr>
    </w:p>
    <w:p w14:paraId="35B724F1">
      <w:pPr>
        <w:pStyle w:val="3"/>
        <w:keepNext w:val="0"/>
        <w:keepLines w:val="0"/>
        <w:widowControl/>
        <w:spacing w:before="299" w:after="299" w:line="240" w:lineRule="auto"/>
        <w:jc w:val="center"/>
        <w:rPr>
          <w:rFonts w:ascii="fang_zheng_xiao_biao_song_ti" w:hAnsi="fang_zheng_xiao_biao_song_ti" w:eastAsia="fang_zheng_xiao_biao_song_ti" w:cs="fang_zheng_xiao_biao_song_ti"/>
          <w:kern w:val="0"/>
          <w:sz w:val="36"/>
          <w:szCs w:val="36"/>
        </w:rPr>
      </w:pPr>
    </w:p>
    <w:p w14:paraId="4BE0C590">
      <w:pPr>
        <w:pStyle w:val="3"/>
        <w:keepNext w:val="0"/>
        <w:keepLines w:val="0"/>
        <w:pageBreakBefore w:val="0"/>
        <w:widowControl/>
        <w:kinsoku/>
        <w:wordWrap/>
        <w:overflowPunct/>
        <w:topLinePunct w:val="0"/>
        <w:autoSpaceDE/>
        <w:autoSpaceDN/>
        <w:bidi w:val="0"/>
        <w:spacing w:before="0" w:after="0" w:line="580" w:lineRule="exact"/>
        <w:ind w:left="0" w:leftChars="0"/>
        <w:jc w:val="center"/>
        <w:textAlignment w:val="auto"/>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第二部分  部门（单位）决算情况说明</w:t>
      </w:r>
    </w:p>
    <w:p w14:paraId="29050292">
      <w:pPr>
        <w:widowControl/>
        <w:spacing w:before="240" w:after="240"/>
        <w:jc w:val="left"/>
        <w:rPr>
          <w:rFonts w:hint="eastAsia" w:ascii="黑体" w:hAnsi="黑体" w:eastAsia="黑体" w:cs="黑体"/>
          <w:b/>
          <w:bCs/>
          <w:kern w:val="0"/>
          <w:sz w:val="32"/>
          <w:szCs w:val="32"/>
          <w:lang w:val="en-US" w:eastAsia="zh-CN"/>
        </w:rPr>
      </w:pPr>
      <w:r>
        <w:rPr>
          <w:rFonts w:ascii="Calibri" w:hAnsi="Calibri" w:eastAsia="Calibri" w:cs="Calibri"/>
          <w:b/>
          <w:bCs/>
          <w:kern w:val="0"/>
          <w:sz w:val="28"/>
          <w:szCs w:val="28"/>
        </w:rPr>
        <w:t> </w:t>
      </w:r>
      <w:r>
        <w:rPr>
          <w:rFonts w:ascii="黑体" w:hAnsi="黑体" w:eastAsia="黑体" w:cs="黑体"/>
          <w:b/>
          <w:bCs/>
          <w:kern w:val="0"/>
          <w:sz w:val="28"/>
          <w:szCs w:val="28"/>
        </w:rPr>
        <w:t xml:space="preserve"> </w:t>
      </w:r>
      <w:r>
        <w:rPr>
          <w:rFonts w:hint="eastAsia" w:ascii="黑体" w:hAnsi="黑体" w:eastAsia="黑体" w:cs="黑体"/>
          <w:b/>
          <w:bCs/>
          <w:kern w:val="0"/>
          <w:sz w:val="28"/>
          <w:szCs w:val="28"/>
          <w:lang w:val="en-US" w:eastAsia="zh-CN"/>
        </w:rPr>
        <w:t xml:space="preserve">  </w:t>
      </w:r>
      <w:r>
        <w:rPr>
          <w:rFonts w:ascii="Calibri" w:hAnsi="Calibri" w:eastAsia="Calibri" w:cs="Calibri"/>
          <w:b/>
          <w:bCs/>
          <w:kern w:val="0"/>
          <w:sz w:val="28"/>
          <w:szCs w:val="28"/>
        </w:rPr>
        <w:t> </w:t>
      </w:r>
      <w:r>
        <w:rPr>
          <w:rFonts w:ascii="黑体" w:hAnsi="黑体" w:eastAsia="黑体" w:cs="黑体"/>
          <w:b/>
          <w:bCs/>
          <w:kern w:val="0"/>
          <w:sz w:val="28"/>
          <w:szCs w:val="28"/>
        </w:rPr>
        <w:t xml:space="preserve"> </w:t>
      </w:r>
      <w:r>
        <w:rPr>
          <w:rFonts w:hint="eastAsia" w:ascii="黑体" w:hAnsi="黑体" w:eastAsia="黑体" w:cs="黑体"/>
          <w:b/>
          <w:bCs/>
          <w:kern w:val="0"/>
          <w:sz w:val="32"/>
          <w:szCs w:val="32"/>
          <w:lang w:val="en-US" w:eastAsia="zh-CN"/>
        </w:rPr>
        <w:t>一、收入支出决算总体情况说明</w:t>
      </w:r>
    </w:p>
    <w:p w14:paraId="5F07A85F">
      <w:pPr>
        <w:keepNext w:val="0"/>
        <w:keepLines w:val="0"/>
        <w:pageBreakBefore w:val="0"/>
        <w:widowControl/>
        <w:kinsoku/>
        <w:wordWrap/>
        <w:overflowPunct/>
        <w:topLinePunct w:val="0"/>
        <w:autoSpaceDE/>
        <w:autoSpaceDN/>
        <w:bidi w:val="0"/>
        <w:adjustRightInd/>
        <w:snapToGrid/>
        <w:spacing w:before="240" w:after="240"/>
        <w:jc w:val="left"/>
        <w:textAlignment w:val="auto"/>
        <w:rPr>
          <w:rFonts w:hint="eastAsia" w:ascii="仿宋_GB2312" w:hAnsi="仿宋_GB2312" w:eastAsia="仿宋_GB2312" w:cs="仿宋_GB2312"/>
          <w:kern w:val="0"/>
          <w:sz w:val="32"/>
          <w:szCs w:val="32"/>
        </w:rPr>
      </w:pP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年度收入、支出决算总计</w:t>
      </w:r>
      <w:r>
        <w:rPr>
          <w:rFonts w:hint="eastAsia" w:ascii="仿宋_GB2312" w:hAnsi="仿宋_GB2312" w:eastAsia="仿宋_GB2312" w:cs="仿宋_GB2312"/>
          <w:kern w:val="0"/>
          <w:sz w:val="32"/>
          <w:szCs w:val="32"/>
          <w:lang w:val="en-US" w:eastAsia="zh-CN"/>
        </w:rPr>
        <w:t>2030.99</w:t>
      </w:r>
      <w:r>
        <w:rPr>
          <w:rFonts w:hint="eastAsia" w:ascii="仿宋_GB2312" w:hAnsi="仿宋_GB2312" w:eastAsia="仿宋_GB2312" w:cs="仿宋_GB2312"/>
          <w:kern w:val="0"/>
          <w:sz w:val="32"/>
          <w:szCs w:val="32"/>
        </w:rPr>
        <w:t xml:space="preserve">万元。与年初预算相比，收、支总计各增加 </w:t>
      </w:r>
      <w:r>
        <w:rPr>
          <w:rFonts w:hint="eastAsia" w:ascii="仿宋_GB2312" w:hAnsi="仿宋_GB2312" w:eastAsia="仿宋_GB2312" w:cs="仿宋_GB2312"/>
          <w:kern w:val="0"/>
          <w:sz w:val="32"/>
          <w:szCs w:val="32"/>
          <w:lang w:val="en-US" w:eastAsia="zh-CN"/>
        </w:rPr>
        <w:t>339.48</w:t>
      </w:r>
      <w:r>
        <w:rPr>
          <w:rFonts w:hint="eastAsia" w:ascii="仿宋_GB2312" w:hAnsi="仿宋_GB2312" w:eastAsia="仿宋_GB2312" w:cs="仿宋_GB2312"/>
          <w:kern w:val="0"/>
          <w:sz w:val="32"/>
          <w:szCs w:val="32"/>
        </w:rPr>
        <w:t>万元，增长 </w:t>
      </w:r>
      <w:r>
        <w:rPr>
          <w:rFonts w:hint="eastAsia" w:ascii="仿宋_GB2312" w:hAnsi="仿宋_GB2312" w:eastAsia="仿宋_GB2312" w:cs="仿宋_GB2312"/>
          <w:kern w:val="0"/>
          <w:sz w:val="32"/>
          <w:szCs w:val="32"/>
          <w:lang w:val="en-US" w:eastAsia="zh-CN"/>
        </w:rPr>
        <w:t>20.06</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2025年年度收入支出中包括年初结转结余，此结余为非财政资金拨款结余，包括赤峰市司法强制隔离戒毒所场所迁建工程项目由赤峰市城市建设投资（集团）有限公司拨来的土地置换款结余及戒毒局拨来是戒毒人员生活费结余。</w:t>
      </w:r>
      <w:r>
        <w:rPr>
          <w:rFonts w:hint="eastAsia" w:ascii="仿宋_GB2312" w:hAnsi="仿宋_GB2312" w:eastAsia="仿宋_GB2312" w:cs="仿宋_GB2312"/>
          <w:kern w:val="0"/>
          <w:sz w:val="32"/>
          <w:szCs w:val="32"/>
        </w:rPr>
        <w:t>与上年决算相比，收、支总计各减少 </w:t>
      </w:r>
      <w:r>
        <w:rPr>
          <w:rFonts w:hint="eastAsia" w:ascii="仿宋_GB2312" w:hAnsi="仿宋_GB2312" w:eastAsia="仿宋_GB2312" w:cs="仿宋_GB2312"/>
          <w:kern w:val="0"/>
          <w:sz w:val="32"/>
          <w:szCs w:val="32"/>
          <w:lang w:val="en-US" w:eastAsia="zh-CN"/>
        </w:rPr>
        <w:t>223.54</w:t>
      </w:r>
      <w:r>
        <w:rPr>
          <w:rFonts w:hint="eastAsia" w:ascii="仿宋_GB2312" w:hAnsi="仿宋_GB2312" w:eastAsia="仿宋_GB2312" w:cs="仿宋_GB2312"/>
          <w:kern w:val="0"/>
          <w:sz w:val="32"/>
          <w:szCs w:val="32"/>
        </w:rPr>
        <w:t>万元，减少</w:t>
      </w:r>
      <w:r>
        <w:rPr>
          <w:rFonts w:hint="eastAsia" w:ascii="仿宋_GB2312" w:hAnsi="仿宋_GB2312" w:eastAsia="仿宋_GB2312" w:cs="仿宋_GB2312"/>
          <w:kern w:val="0"/>
          <w:sz w:val="32"/>
          <w:szCs w:val="32"/>
          <w:lang w:val="en-US" w:eastAsia="zh-CN"/>
        </w:rPr>
        <w:t>9.92</w:t>
      </w:r>
      <w:r>
        <w:rPr>
          <w:rFonts w:hint="eastAsia" w:ascii="仿宋_GB2312" w:hAnsi="仿宋_GB2312" w:eastAsia="仿宋_GB2312" w:cs="仿宋_GB2312"/>
          <w:kern w:val="0"/>
          <w:sz w:val="32"/>
          <w:szCs w:val="32"/>
        </w:rPr>
        <w:t>%。其中：</w:t>
      </w:r>
    </w:p>
    <w:p w14:paraId="0BEFB77D">
      <w:pPr>
        <w:widowControl/>
        <w:spacing w:before="240" w:after="240"/>
        <w:jc w:val="left"/>
        <w:rPr>
          <w:rFonts w:hint="eastAsia" w:ascii="楷体" w:hAnsi="楷体" w:eastAsia="楷体" w:cs="楷体"/>
          <w:b/>
          <w:bCs/>
          <w:kern w:val="0"/>
          <w:sz w:val="32"/>
          <w:szCs w:val="32"/>
        </w:rPr>
      </w:pPr>
      <w:r>
        <w:rPr>
          <w:rFonts w:hint="eastAsia" w:ascii="楷体" w:hAnsi="楷体" w:eastAsia="楷体" w:cs="楷体"/>
          <w:b/>
          <w:bCs/>
          <w:kern w:val="0"/>
          <w:sz w:val="32"/>
          <w:szCs w:val="32"/>
        </w:rPr>
        <w:t>    （一）收入决算总计 </w:t>
      </w:r>
      <w:r>
        <w:rPr>
          <w:rFonts w:hint="eastAsia" w:ascii="楷体" w:hAnsi="楷体" w:eastAsia="楷体" w:cs="楷体"/>
          <w:b/>
          <w:bCs/>
          <w:kern w:val="0"/>
          <w:sz w:val="32"/>
          <w:szCs w:val="32"/>
          <w:lang w:val="en-US" w:eastAsia="zh-CN"/>
        </w:rPr>
        <w:t>2030.99</w:t>
      </w:r>
      <w:r>
        <w:rPr>
          <w:rFonts w:hint="eastAsia" w:ascii="楷体" w:hAnsi="楷体" w:eastAsia="楷体" w:cs="楷体"/>
          <w:b/>
          <w:bCs/>
          <w:kern w:val="0"/>
          <w:sz w:val="32"/>
          <w:szCs w:val="32"/>
        </w:rPr>
        <w:t>万元。包括：</w:t>
      </w:r>
    </w:p>
    <w:p w14:paraId="01366ABE">
      <w:pPr>
        <w:pageBreakBefore w:val="0"/>
        <w:widowControl/>
        <w:kinsoku/>
        <w:wordWrap/>
        <w:overflowPunct/>
        <w:topLinePunct w:val="0"/>
        <w:autoSpaceDE/>
        <w:autoSpaceDN/>
        <w:bidi w:val="0"/>
        <w:spacing w:line="580" w:lineRule="exact"/>
        <w:ind w:left="0" w:leftChars="0"/>
        <w:textAlignment w:val="auto"/>
        <w:rPr>
          <w:rFonts w:hint="default" w:ascii="仿宋_GB2312" w:hAnsi="仿宋_GB2312" w:eastAsia="仿宋_GB2312" w:cs="仿宋_GB2312"/>
          <w:kern w:val="0"/>
          <w:sz w:val="32"/>
          <w:szCs w:val="32"/>
          <w:lang w:val="en-US" w:eastAsia="zh-CN"/>
        </w:rPr>
      </w:pPr>
      <w:r>
        <w:rPr>
          <w:rFonts w:hint="eastAsia" w:ascii="仿宋" w:hAnsi="仿宋" w:eastAsia="仿宋" w:cs="仿宋"/>
          <w:kern w:val="0"/>
          <w:sz w:val="27"/>
          <w:szCs w:val="27"/>
        </w:rPr>
        <w:t> </w:t>
      </w:r>
      <w:r>
        <w:rPr>
          <w:rFonts w:hint="eastAsia" w:ascii="仿宋" w:hAnsi="仿宋" w:eastAsia="仿宋" w:cs="仿宋"/>
          <w:kern w:val="0"/>
          <w:sz w:val="27"/>
          <w:szCs w:val="27"/>
          <w:lang w:val="en-US" w:eastAsia="zh-CN"/>
        </w:rPr>
        <w:t xml:space="preserve">    </w:t>
      </w:r>
      <w:r>
        <w:rPr>
          <w:rFonts w:hint="eastAsia" w:ascii="仿宋_GB2312" w:hAnsi="仿宋_GB2312" w:eastAsia="仿宋_GB2312" w:cs="仿宋_GB2312"/>
          <w:kern w:val="0"/>
          <w:sz w:val="32"/>
          <w:szCs w:val="32"/>
        </w:rPr>
        <w:t>1.本年收入决算合计 </w:t>
      </w:r>
      <w:r>
        <w:rPr>
          <w:rFonts w:hint="eastAsia" w:ascii="仿宋_GB2312" w:hAnsi="仿宋_GB2312" w:eastAsia="仿宋_GB2312" w:cs="仿宋_GB2312"/>
          <w:kern w:val="0"/>
          <w:sz w:val="32"/>
          <w:szCs w:val="32"/>
          <w:lang w:val="en-US" w:eastAsia="zh-CN"/>
        </w:rPr>
        <w:t>1421.11</w:t>
      </w:r>
      <w:r>
        <w:rPr>
          <w:rFonts w:hint="eastAsia" w:ascii="仿宋_GB2312" w:hAnsi="仿宋_GB2312" w:eastAsia="仿宋_GB2312" w:cs="仿宋_GB2312"/>
          <w:kern w:val="0"/>
          <w:sz w:val="32"/>
          <w:szCs w:val="32"/>
        </w:rPr>
        <w:t>万元。与上年决算相比，减少 </w:t>
      </w:r>
      <w:r>
        <w:rPr>
          <w:rFonts w:hint="eastAsia" w:ascii="仿宋_GB2312" w:hAnsi="仿宋_GB2312" w:eastAsia="仿宋_GB2312" w:cs="仿宋_GB2312"/>
          <w:kern w:val="0"/>
          <w:sz w:val="32"/>
          <w:szCs w:val="32"/>
          <w:lang w:val="en-US" w:eastAsia="zh-CN"/>
        </w:rPr>
        <w:t>566.07</w:t>
      </w:r>
      <w:r>
        <w:rPr>
          <w:rFonts w:hint="eastAsia" w:ascii="仿宋_GB2312" w:hAnsi="仿宋_GB2312" w:eastAsia="仿宋_GB2312" w:cs="仿宋_GB2312"/>
          <w:kern w:val="0"/>
          <w:sz w:val="32"/>
          <w:szCs w:val="32"/>
        </w:rPr>
        <w:t>万元，减少</w:t>
      </w:r>
      <w:r>
        <w:rPr>
          <w:rFonts w:hint="eastAsia" w:ascii="仿宋_GB2312" w:hAnsi="仿宋_GB2312" w:eastAsia="仿宋_GB2312" w:cs="仿宋_GB2312"/>
          <w:kern w:val="0"/>
          <w:sz w:val="32"/>
          <w:szCs w:val="32"/>
          <w:lang w:val="en-US" w:eastAsia="zh-CN"/>
        </w:rPr>
        <w:t>28.49</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赤峰市司法强制隔离戒毒所场所迁建工程项目由赤峰市城市建设投资（集团）有限公司拨来的土地置换款作为其他收入比全年减少。</w:t>
      </w:r>
    </w:p>
    <w:p w14:paraId="202EBEB9">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2.使用非财政拨款结余和专用结余 0万元。与上年决算相比，增加 0万元，增长 0%。</w:t>
      </w:r>
    </w:p>
    <w:p w14:paraId="5A29D3CF">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3.年初结转和结余 </w:t>
      </w:r>
      <w:r>
        <w:rPr>
          <w:rFonts w:hint="eastAsia" w:ascii="仿宋_GB2312" w:hAnsi="仿宋_GB2312" w:eastAsia="仿宋_GB2312" w:cs="仿宋_GB2312"/>
          <w:kern w:val="0"/>
          <w:sz w:val="32"/>
          <w:szCs w:val="32"/>
          <w:lang w:val="en-US" w:eastAsia="zh-CN"/>
        </w:rPr>
        <w:t>609.88</w:t>
      </w:r>
      <w:r>
        <w:rPr>
          <w:rFonts w:hint="eastAsia" w:ascii="仿宋_GB2312" w:hAnsi="仿宋_GB2312" w:eastAsia="仿宋_GB2312" w:cs="仿宋_GB2312"/>
          <w:kern w:val="0"/>
          <w:sz w:val="32"/>
          <w:szCs w:val="32"/>
        </w:rPr>
        <w:t>万元。与上年决算相比，</w:t>
      </w:r>
      <w:r>
        <w:rPr>
          <w:rFonts w:hint="eastAsia" w:ascii="仿宋_GB2312" w:hAnsi="仿宋_GB2312" w:eastAsia="仿宋_GB2312" w:cs="仿宋_GB2312"/>
          <w:kern w:val="0"/>
          <w:sz w:val="32"/>
          <w:szCs w:val="32"/>
          <w:lang w:val="en-US" w:eastAsia="zh-CN"/>
        </w:rPr>
        <w:t>增加342.53</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增加128.12</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2025年初结转结余增加了非财政拨款中支出的赤峰市司法强制隔离戒毒所场所迁建工程项目的土地置换款</w:t>
      </w:r>
      <w:r>
        <w:rPr>
          <w:rFonts w:hint="eastAsia" w:ascii="仿宋_GB2312" w:hAnsi="仿宋_GB2312" w:eastAsia="仿宋_GB2312" w:cs="仿宋_GB2312"/>
          <w:kern w:val="0"/>
          <w:sz w:val="32"/>
          <w:szCs w:val="32"/>
        </w:rPr>
        <w:t>。</w:t>
      </w:r>
    </w:p>
    <w:p w14:paraId="676DA7D0">
      <w:pPr>
        <w:widowControl/>
        <w:spacing w:before="240" w:after="240"/>
        <w:ind w:firstLine="433"/>
        <w:jc w:val="left"/>
        <w:rPr>
          <w:rFonts w:hint="eastAsia" w:ascii="楷体" w:hAnsi="楷体" w:eastAsia="楷体" w:cs="楷体"/>
          <w:b/>
          <w:bCs/>
          <w:color w:val="auto"/>
          <w:kern w:val="0"/>
          <w:sz w:val="32"/>
          <w:szCs w:val="32"/>
        </w:rPr>
      </w:pPr>
      <w:r>
        <w:rPr>
          <w:rFonts w:hint="eastAsia" w:ascii="楷体" w:hAnsi="楷体" w:eastAsia="楷体" w:cs="楷体"/>
          <w:b/>
          <w:bCs/>
          <w:color w:val="auto"/>
          <w:kern w:val="0"/>
          <w:sz w:val="32"/>
          <w:szCs w:val="32"/>
        </w:rPr>
        <w:t>（二）支出决算总计</w:t>
      </w:r>
      <w:r>
        <w:rPr>
          <w:rFonts w:hint="eastAsia" w:ascii="楷体" w:hAnsi="楷体" w:eastAsia="楷体" w:cs="楷体"/>
          <w:b/>
          <w:bCs/>
          <w:color w:val="auto"/>
          <w:kern w:val="0"/>
          <w:sz w:val="32"/>
          <w:szCs w:val="32"/>
          <w:lang w:val="en-US" w:eastAsia="zh-CN"/>
        </w:rPr>
        <w:t>2030.99</w:t>
      </w:r>
      <w:r>
        <w:rPr>
          <w:rFonts w:hint="eastAsia" w:ascii="楷体" w:hAnsi="楷体" w:eastAsia="楷体" w:cs="楷体"/>
          <w:b/>
          <w:bCs/>
          <w:color w:val="auto"/>
          <w:kern w:val="0"/>
          <w:sz w:val="32"/>
          <w:szCs w:val="32"/>
        </w:rPr>
        <w:t>万元。包括：</w:t>
      </w:r>
    </w:p>
    <w:p w14:paraId="76097AB7">
      <w:pPr>
        <w:pageBreakBefore w:val="0"/>
        <w:widowControl/>
        <w:kinsoku/>
        <w:wordWrap/>
        <w:overflowPunct/>
        <w:topLinePunct w:val="0"/>
        <w:autoSpaceDE/>
        <w:autoSpaceDN/>
        <w:bidi w:val="0"/>
        <w:spacing w:line="580" w:lineRule="exact"/>
        <w:ind w:left="0" w:leftChars="0" w:firstLine="560" w:firstLineChars="200"/>
        <w:textAlignment w:val="auto"/>
        <w:rPr>
          <w:rFonts w:hint="eastAsia" w:ascii="仿宋_GB2312" w:hAnsi="仿宋_GB2312" w:eastAsia="仿宋_GB2312" w:cs="仿宋_GB2312"/>
          <w:kern w:val="0"/>
          <w:sz w:val="32"/>
          <w:szCs w:val="32"/>
          <w:lang w:val="en-US" w:eastAsia="zh-CN"/>
        </w:rPr>
      </w:pPr>
      <w:r>
        <w:rPr>
          <w:rFonts w:hint="eastAsia" w:ascii="仿宋" w:hAnsi="仿宋" w:eastAsia="仿宋" w:cs="仿宋"/>
          <w:kern w:val="0"/>
          <w:sz w:val="28"/>
          <w:szCs w:val="28"/>
          <w:lang w:val="en-US" w:eastAsia="zh-CN"/>
        </w:rPr>
        <w:t xml:space="preserve"> </w:t>
      </w:r>
      <w:r>
        <w:rPr>
          <w:rFonts w:hint="eastAsia" w:ascii="仿宋_GB2312" w:hAnsi="仿宋_GB2312" w:eastAsia="仿宋_GB2312" w:cs="仿宋_GB2312"/>
          <w:kern w:val="0"/>
          <w:sz w:val="32"/>
          <w:szCs w:val="32"/>
          <w:lang w:val="en-US" w:eastAsia="zh-CN"/>
        </w:rPr>
        <w:t>1.本年支出决算合计1721.01万元。与上年决算相比，增加76.36万元，减少4.64%，变动原因：主要是赤峰市司法强制隔离戒毒所场所迁建工程项目场所建设资金支出比去年决算增加。</w:t>
      </w:r>
    </w:p>
    <w:p w14:paraId="7ADFF848">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2.结余分配 0万元。。与上年决算相比，增加 0万元，增长 0%。</w:t>
      </w:r>
    </w:p>
    <w:p w14:paraId="33639202">
      <w:pPr>
        <w:pageBreakBefore w:val="0"/>
        <w:widowControl/>
        <w:kinsoku/>
        <w:wordWrap/>
        <w:overflowPunct/>
        <w:topLinePunct w:val="0"/>
        <w:autoSpaceDE/>
        <w:autoSpaceDN/>
        <w:bidi w:val="0"/>
        <w:spacing w:line="580" w:lineRule="exact"/>
        <w:ind w:left="0" w:leftChars="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     3.年末结转和结余309.98万元。结转和结余事项：一是原基建项目和三产倒闭等往来款项；二是自治区戒毒局拨入慰问金及戒毒人员调遣费生活费；三是场所迁建项目结转结余。与上年决算相比减少299.9万元，减少49.17%，变动原因：本年度赤峰市司法强制隔离戒毒所场所迁建工程项目支出资金增加。</w:t>
      </w:r>
    </w:p>
    <w:p w14:paraId="37B63149">
      <w:pPr>
        <w:widowControl/>
        <w:spacing w:before="240" w:after="240"/>
        <w:jc w:val="left"/>
        <w:rPr>
          <w:rFonts w:hint="eastAsia" w:ascii="黑体" w:hAnsi="黑体" w:eastAsia="黑体" w:cs="黑体"/>
          <w:b/>
          <w:bCs/>
          <w:kern w:val="0"/>
          <w:sz w:val="32"/>
          <w:szCs w:val="32"/>
          <w:lang w:val="en-US" w:eastAsia="zh-CN"/>
        </w:rPr>
      </w:pPr>
      <w:r>
        <w:rPr>
          <w:rFonts w:ascii="Calibri" w:hAnsi="Calibri" w:eastAsia="Calibri" w:cs="Calibri"/>
          <w:b/>
          <w:bCs/>
          <w:kern w:val="0"/>
          <w:sz w:val="27"/>
          <w:szCs w:val="27"/>
        </w:rPr>
        <w:t> </w:t>
      </w:r>
      <w:r>
        <w:rPr>
          <w:rFonts w:ascii="黑体" w:hAnsi="黑体" w:eastAsia="黑体" w:cs="黑体"/>
          <w:b/>
          <w:bCs/>
          <w:kern w:val="0"/>
          <w:sz w:val="27"/>
          <w:szCs w:val="27"/>
        </w:rPr>
        <w:t xml:space="preserve"> </w:t>
      </w:r>
      <w:r>
        <w:rPr>
          <w:rFonts w:ascii="Calibri" w:hAnsi="Calibri" w:eastAsia="Calibri" w:cs="Calibri"/>
          <w:b/>
          <w:bCs/>
          <w:kern w:val="0"/>
          <w:sz w:val="27"/>
          <w:szCs w:val="27"/>
        </w:rPr>
        <w:t> </w:t>
      </w:r>
      <w:r>
        <w:rPr>
          <w:rFonts w:hint="eastAsia" w:ascii="Calibri" w:hAnsi="Calibri" w:cs="Calibri"/>
          <w:b/>
          <w:bCs/>
          <w:kern w:val="0"/>
          <w:sz w:val="28"/>
          <w:szCs w:val="28"/>
          <w:lang w:val="en-US" w:eastAsia="zh-CN"/>
        </w:rPr>
        <w:t xml:space="preserve">  </w:t>
      </w:r>
      <w:r>
        <w:rPr>
          <w:rFonts w:ascii="黑体" w:hAnsi="黑体" w:eastAsia="黑体" w:cs="黑体"/>
          <w:b/>
          <w:bCs/>
          <w:kern w:val="0"/>
          <w:sz w:val="28"/>
          <w:szCs w:val="28"/>
        </w:rPr>
        <w:t xml:space="preserve"> </w:t>
      </w:r>
      <w:r>
        <w:rPr>
          <w:rFonts w:hint="eastAsia" w:ascii="黑体" w:hAnsi="黑体" w:eastAsia="黑体" w:cs="黑体"/>
          <w:b/>
          <w:bCs/>
          <w:kern w:val="0"/>
          <w:sz w:val="32"/>
          <w:szCs w:val="32"/>
          <w:lang w:val="en-US" w:eastAsia="zh-CN"/>
        </w:rPr>
        <w:t>二、收入决算情况说明</w:t>
      </w:r>
    </w:p>
    <w:p w14:paraId="7EE88A9C">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ascii="Calibri" w:hAnsi="Calibri" w:eastAsia="Calibri" w:cs="Calibri"/>
          <w:color w:val="0E00FE"/>
          <w:kern w:val="0"/>
          <w:sz w:val="28"/>
          <w:szCs w:val="28"/>
        </w:rPr>
        <w:t> </w:t>
      </w:r>
      <w:r>
        <w:rPr>
          <w:rFonts w:hint="eastAsia" w:ascii="Calibri" w:hAnsi="Calibri" w:eastAsia="宋体" w:cs="Calibri"/>
          <w:color w:val="0E00FE"/>
          <w:kern w:val="0"/>
          <w:sz w:val="28"/>
          <w:szCs w:val="28"/>
          <w:lang w:val="en-US" w:eastAsia="zh-CN"/>
        </w:rPr>
        <w:t xml:space="preserve">    </w:t>
      </w:r>
      <w:r>
        <w:rPr>
          <w:rFonts w:hint="eastAsia" w:ascii="仿宋_GB2312" w:hAnsi="仿宋_GB2312" w:eastAsia="仿宋_GB2312" w:cs="仿宋_GB2312"/>
          <w:color w:val="auto"/>
          <w:kern w:val="0"/>
          <w:sz w:val="32"/>
          <w:szCs w:val="32"/>
          <w:lang w:val="en-US" w:eastAsia="zh-CN"/>
        </w:rPr>
        <w:t>赤峰市强制隔离戒毒所 2025年度本年收入决算合计1421.11万元，其中：</w:t>
      </w:r>
    </w:p>
    <w:p w14:paraId="077D6D3B">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本年一般公共预算财政拨款收入1420.99万元，占99.99%；</w:t>
      </w:r>
    </w:p>
    <w:p w14:paraId="6F1ADDA0">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本年政府性基金预算财政拨款收入 0万元，占 0%；</w:t>
      </w:r>
    </w:p>
    <w:p w14:paraId="6C1D57B9">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本年国有资本经营预算财政拨款收入 0万元，占 0%；</w:t>
      </w:r>
    </w:p>
    <w:p w14:paraId="6128C7AB">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本年上级补助收入 0万元，占 0%；</w:t>
      </w:r>
    </w:p>
    <w:p w14:paraId="21F5E727">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本年事业收入 0万元，占 0%；</w:t>
      </w:r>
    </w:p>
    <w:p w14:paraId="2AE39FB2">
      <w:pPr>
        <w:keepNext w:val="0"/>
        <w:keepLines w:val="0"/>
        <w:pageBreakBefore w:val="0"/>
        <w:widowControl/>
        <w:kinsoku/>
        <w:wordWrap/>
        <w:overflowPunct/>
        <w:topLinePunct/>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本年经营收入 0万元，占 0%；</w:t>
      </w:r>
    </w:p>
    <w:p w14:paraId="34D718F8">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本年附属单位上缴收入 0万元，占 0%；</w:t>
      </w:r>
    </w:p>
    <w:p w14:paraId="0CB0142E">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本年其他收入0.12万元，占0.01%。</w:t>
      </w:r>
    </w:p>
    <w:p w14:paraId="18F47D2B">
      <w:pPr>
        <w:keepNext w:val="0"/>
        <w:keepLines w:val="0"/>
        <w:pageBreakBefore w:val="0"/>
        <w:widowControl/>
        <w:kinsoku/>
        <w:wordWrap/>
        <w:overflowPunct/>
        <w:topLinePunct/>
        <w:autoSpaceDE/>
        <w:autoSpaceDN/>
        <w:bidi w:val="0"/>
        <w:adjustRightInd/>
        <w:snapToGrid/>
        <w:spacing w:line="580" w:lineRule="exact"/>
        <w:ind w:left="0" w:leftChars="0"/>
        <w:textAlignment w:val="auto"/>
        <w:rPr>
          <w:rFonts w:hint="eastAsia" w:ascii="仿宋_GB2312" w:hAnsi="仿宋_GB2312" w:eastAsia="仿宋_GB2312" w:cs="仿宋_GB2312"/>
          <w:color w:val="auto"/>
          <w:kern w:val="0"/>
          <w:sz w:val="32"/>
          <w:szCs w:val="32"/>
          <w:lang w:val="en-US" w:eastAsia="zh-CN"/>
        </w:rPr>
      </w:pPr>
      <w:r>
        <w:rPr>
          <w:rFonts w:hint="eastAsia" w:ascii="仿宋_GB2312" w:hAnsi="仿宋_GB2312" w:eastAsia="仿宋_GB2312" w:cs="仿宋_GB2312"/>
          <w:color w:val="auto"/>
          <w:kern w:val="0"/>
          <w:sz w:val="32"/>
          <w:szCs w:val="32"/>
          <w:lang w:val="en-US" w:eastAsia="zh-CN"/>
        </w:rPr>
        <w:t xml:space="preserve">    </w:t>
      </w:r>
    </w:p>
    <w:p w14:paraId="2D74F9B6">
      <w:pPr>
        <w:widowControl/>
        <w:spacing w:before="240" w:after="240"/>
        <w:jc w:val="center"/>
        <w:rPr>
          <w:rFonts w:ascii="Times New Roman" w:hAnsi="Times New Roman" w:eastAsia="Times New Roman" w:cs="Times New Roman"/>
          <w:kern w:val="0"/>
          <w:sz w:val="24"/>
        </w:rPr>
      </w:pPr>
    </w:p>
    <w:p w14:paraId="43AA8595">
      <w:pPr>
        <w:pStyle w:val="21"/>
        <w:rPr>
          <w:rFonts w:ascii="Times New Roman" w:hAnsi="Times New Roman" w:eastAsia="Times New Roman" w:cs="Times New Roman"/>
          <w:kern w:val="0"/>
          <w:sz w:val="24"/>
        </w:rPr>
      </w:pPr>
    </w:p>
    <w:p w14:paraId="704F2391">
      <w:pPr>
        <w:pStyle w:val="21"/>
        <w:rPr>
          <w:rFonts w:ascii="Times New Roman" w:hAnsi="Times New Roman" w:eastAsia="Times New Roman" w:cs="Times New Roman"/>
          <w:kern w:val="0"/>
          <w:sz w:val="24"/>
        </w:rPr>
      </w:pPr>
    </w:p>
    <w:p w14:paraId="119297AA">
      <w:pPr>
        <w:rPr>
          <w:rFonts w:hint="eastAsia" w:eastAsiaTheme="minorEastAsia"/>
          <w:lang w:eastAsia="zh-CN"/>
        </w:rPr>
      </w:pPr>
      <w:r>
        <w:rPr>
          <w:rFonts w:hint="eastAsia" w:eastAsiaTheme="minorEastAsia"/>
          <w:lang w:eastAsia="zh-CN"/>
        </w:rPr>
        <w:drawing>
          <wp:inline distT="0" distB="0" distL="114300" distR="114300">
            <wp:extent cx="6123305" cy="3559810"/>
            <wp:effectExtent l="4445" t="4445" r="6350" b="1714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A330D6A">
      <w:pPr>
        <w:keepNext w:val="0"/>
        <w:keepLines w:val="0"/>
        <w:pageBreakBefore w:val="0"/>
        <w:widowControl/>
        <w:kinsoku/>
        <w:wordWrap/>
        <w:overflowPunct/>
        <w:topLinePunct w:val="0"/>
        <w:autoSpaceDE/>
        <w:autoSpaceDN/>
        <w:bidi w:val="0"/>
        <w:adjustRightInd/>
        <w:snapToGrid/>
        <w:spacing w:line="580" w:lineRule="exact"/>
        <w:ind w:left="0" w:leftChars="0"/>
        <w:jc w:val="center"/>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图1.收入决算图</w:t>
      </w:r>
    </w:p>
    <w:p w14:paraId="1F1148AF">
      <w:pPr>
        <w:pageBreakBefore w:val="0"/>
        <w:widowControl/>
        <w:kinsoku/>
        <w:wordWrap/>
        <w:overflowPunct/>
        <w:topLinePunct w:val="0"/>
        <w:autoSpaceDE/>
        <w:autoSpaceDN/>
        <w:bidi w:val="0"/>
        <w:spacing w:line="580" w:lineRule="exact"/>
        <w:ind w:left="0" w:leftChars="0" w:firstLine="643" w:firstLineChars="200"/>
        <w:textAlignment w:val="auto"/>
        <w:rPr>
          <w:rFonts w:hint="eastAsia" w:ascii="黑体" w:hAnsi="黑体" w:eastAsia="黑体" w:cs="黑体"/>
          <w:b/>
          <w:bCs/>
          <w:kern w:val="0"/>
          <w:sz w:val="32"/>
          <w:szCs w:val="32"/>
          <w:lang w:val="en-US" w:eastAsia="zh-CN"/>
        </w:rPr>
      </w:pPr>
    </w:p>
    <w:p w14:paraId="35466AEF">
      <w:pPr>
        <w:pageBreakBefore w:val="0"/>
        <w:widowControl/>
        <w:kinsoku/>
        <w:wordWrap/>
        <w:overflowPunct/>
        <w:topLinePunct w:val="0"/>
        <w:autoSpaceDE/>
        <w:autoSpaceDN/>
        <w:bidi w:val="0"/>
        <w:spacing w:line="580" w:lineRule="exact"/>
        <w:ind w:left="0" w:leftChars="0" w:firstLine="643" w:firstLineChars="200"/>
        <w:textAlignment w:val="auto"/>
        <w:rPr>
          <w:rFonts w:hint="eastAsia" w:ascii="黑体" w:hAnsi="黑体" w:eastAsia="黑体" w:cs="黑体"/>
          <w:b/>
          <w:bCs/>
          <w:kern w:val="0"/>
          <w:sz w:val="32"/>
          <w:szCs w:val="32"/>
          <w:lang w:val="en-US" w:eastAsia="zh-CN"/>
        </w:rPr>
      </w:pPr>
      <w:r>
        <w:rPr>
          <w:rFonts w:hint="eastAsia" w:ascii="黑体" w:hAnsi="黑体" w:eastAsia="黑体" w:cs="黑体"/>
          <w:b/>
          <w:bCs/>
          <w:kern w:val="0"/>
          <w:sz w:val="32"/>
          <w:szCs w:val="32"/>
          <w:lang w:val="en-US" w:eastAsia="zh-CN"/>
        </w:rPr>
        <w:t>三、支出决算情况说明</w:t>
      </w:r>
    </w:p>
    <w:p w14:paraId="67C8CC2A">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u w:val="none"/>
        </w:rPr>
      </w:pP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28"/>
          <w:szCs w:val="28"/>
          <w:lang w:val="en-US" w:eastAsia="zh-CN"/>
        </w:rPr>
        <w:t xml:space="preserve"> </w:t>
      </w:r>
      <w:r>
        <w:rPr>
          <w:rFonts w:hint="eastAsia" w:ascii="仿宋_GB2312" w:hAnsi="仿宋_GB2312" w:eastAsia="仿宋_GB2312" w:cs="仿宋_GB2312"/>
          <w:kern w:val="0"/>
          <w:sz w:val="32"/>
          <w:szCs w:val="32"/>
          <w:u w:val="none"/>
        </w:rPr>
        <w:t>赤峰市强制隔离戒毒所 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年度本年支出决算合计 </w:t>
      </w:r>
      <w:r>
        <w:rPr>
          <w:rFonts w:hint="eastAsia" w:ascii="仿宋_GB2312" w:hAnsi="仿宋_GB2312" w:eastAsia="仿宋_GB2312" w:cs="仿宋_GB2312"/>
          <w:kern w:val="0"/>
          <w:sz w:val="32"/>
          <w:szCs w:val="32"/>
          <w:u w:val="none"/>
          <w:lang w:val="en-US" w:eastAsia="zh-CN"/>
        </w:rPr>
        <w:t>1721.01</w:t>
      </w:r>
      <w:r>
        <w:rPr>
          <w:rFonts w:hint="eastAsia" w:ascii="仿宋_GB2312" w:hAnsi="仿宋_GB2312" w:eastAsia="仿宋_GB2312" w:cs="仿宋_GB2312"/>
          <w:kern w:val="0"/>
          <w:sz w:val="32"/>
          <w:szCs w:val="32"/>
          <w:u w:val="none"/>
        </w:rPr>
        <w:t>万元，其中：</w:t>
      </w:r>
    </w:p>
    <w:p w14:paraId="5987E972">
      <w:pPr>
        <w:pageBreakBefore w:val="0"/>
        <w:widowControl/>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本年基本支出 </w:t>
      </w:r>
      <w:r>
        <w:rPr>
          <w:rFonts w:hint="eastAsia" w:ascii="仿宋_GB2312" w:hAnsi="仿宋_GB2312" w:eastAsia="仿宋_GB2312" w:cs="仿宋_GB2312"/>
          <w:kern w:val="0"/>
          <w:sz w:val="32"/>
          <w:szCs w:val="32"/>
          <w:u w:val="none"/>
          <w:lang w:val="en-US" w:eastAsia="zh-CN"/>
        </w:rPr>
        <w:t>1386.35</w:t>
      </w:r>
      <w:r>
        <w:rPr>
          <w:rFonts w:hint="eastAsia" w:ascii="仿宋_GB2312" w:hAnsi="仿宋_GB2312" w:eastAsia="仿宋_GB2312" w:cs="仿宋_GB2312"/>
          <w:kern w:val="0"/>
          <w:sz w:val="32"/>
          <w:szCs w:val="32"/>
          <w:u w:val="none"/>
        </w:rPr>
        <w:t>万元，占 </w:t>
      </w:r>
      <w:r>
        <w:rPr>
          <w:rFonts w:hint="eastAsia" w:ascii="仿宋_GB2312" w:hAnsi="仿宋_GB2312" w:eastAsia="仿宋_GB2312" w:cs="仿宋_GB2312"/>
          <w:kern w:val="0"/>
          <w:sz w:val="32"/>
          <w:szCs w:val="32"/>
          <w:u w:val="none"/>
          <w:lang w:val="en-US" w:eastAsia="zh-CN"/>
        </w:rPr>
        <w:t>80.55</w:t>
      </w:r>
      <w:r>
        <w:rPr>
          <w:rFonts w:hint="eastAsia" w:ascii="仿宋_GB2312" w:hAnsi="仿宋_GB2312" w:eastAsia="仿宋_GB2312" w:cs="仿宋_GB2312"/>
          <w:kern w:val="0"/>
          <w:sz w:val="32"/>
          <w:szCs w:val="32"/>
          <w:u w:val="none"/>
        </w:rPr>
        <w:t>%；</w:t>
      </w:r>
    </w:p>
    <w:p w14:paraId="76B876B5">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本年项目支出</w:t>
      </w:r>
      <w:r>
        <w:rPr>
          <w:rFonts w:hint="eastAsia" w:ascii="仿宋_GB2312" w:hAnsi="仿宋_GB2312" w:eastAsia="仿宋_GB2312" w:cs="仿宋_GB2312"/>
          <w:kern w:val="0"/>
          <w:sz w:val="32"/>
          <w:szCs w:val="32"/>
          <w:u w:val="none"/>
          <w:lang w:val="en-US" w:eastAsia="zh-CN"/>
        </w:rPr>
        <w:t>334.66</w:t>
      </w:r>
      <w:r>
        <w:rPr>
          <w:rFonts w:hint="eastAsia" w:ascii="仿宋_GB2312" w:hAnsi="仿宋_GB2312" w:eastAsia="仿宋_GB2312" w:cs="仿宋_GB2312"/>
          <w:kern w:val="0"/>
          <w:sz w:val="32"/>
          <w:szCs w:val="32"/>
          <w:u w:val="none"/>
        </w:rPr>
        <w:t>万元，占</w:t>
      </w:r>
      <w:r>
        <w:rPr>
          <w:rFonts w:hint="eastAsia" w:ascii="仿宋_GB2312" w:hAnsi="仿宋_GB2312" w:eastAsia="仿宋_GB2312" w:cs="仿宋_GB2312"/>
          <w:kern w:val="0"/>
          <w:sz w:val="32"/>
          <w:szCs w:val="32"/>
          <w:u w:val="none"/>
          <w:lang w:val="en-US" w:eastAsia="zh-CN"/>
        </w:rPr>
        <w:t>19.45</w:t>
      </w:r>
      <w:r>
        <w:rPr>
          <w:rFonts w:hint="eastAsia" w:ascii="仿宋_GB2312" w:hAnsi="仿宋_GB2312" w:eastAsia="仿宋_GB2312" w:cs="仿宋_GB2312"/>
          <w:kern w:val="0"/>
          <w:sz w:val="32"/>
          <w:szCs w:val="32"/>
          <w:u w:val="none"/>
        </w:rPr>
        <w:t>%；</w:t>
      </w:r>
    </w:p>
    <w:p w14:paraId="5287AAE8">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本年上缴上级支出 0万元，占 0%；</w:t>
      </w:r>
    </w:p>
    <w:p w14:paraId="38D0D2EF">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本年经营支出 0万元，占 0%；</w:t>
      </w:r>
    </w:p>
    <w:p w14:paraId="4E5B45A7">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w:t>
      </w: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  本年对附属单位补助支出 0万元，占 0%。</w:t>
      </w:r>
    </w:p>
    <w:p w14:paraId="5127720B">
      <w:pPr>
        <w:widowControl/>
        <w:spacing w:before="240" w:after="240"/>
        <w:rPr>
          <w:rFonts w:ascii="Times New Roman" w:hAnsi="Times New Roman" w:eastAsia="Times New Roman" w:cs="Times New Roman"/>
          <w:kern w:val="0"/>
          <w:sz w:val="28"/>
          <w:szCs w:val="28"/>
        </w:rPr>
      </w:pPr>
      <w:r>
        <w:rPr>
          <w:rFonts w:ascii="Calibri" w:hAnsi="Calibri" w:eastAsia="Calibri" w:cs="Calibri"/>
          <w:color w:val="0E00FE"/>
          <w:kern w:val="0"/>
          <w:sz w:val="28"/>
          <w:szCs w:val="28"/>
        </w:rPr>
        <w:t> </w:t>
      </w:r>
      <w:r>
        <w:rPr>
          <w:rFonts w:ascii="仿宋_GB2312" w:hAnsi="仿宋_GB2312" w:eastAsia="仿宋_GB2312" w:cs="仿宋_GB2312"/>
          <w:color w:val="0E00FE"/>
          <w:kern w:val="0"/>
          <w:sz w:val="28"/>
          <w:szCs w:val="28"/>
        </w:rPr>
        <w:t xml:space="preserve"> </w:t>
      </w:r>
      <w:r>
        <w:rPr>
          <w:rFonts w:ascii="Calibri" w:hAnsi="Calibri" w:eastAsia="Calibri" w:cs="Calibri"/>
          <w:color w:val="0E00FE"/>
          <w:kern w:val="0"/>
          <w:sz w:val="28"/>
          <w:szCs w:val="28"/>
        </w:rPr>
        <w:t> </w:t>
      </w:r>
      <w:r>
        <w:rPr>
          <w:rFonts w:ascii="仿宋_GB2312" w:hAnsi="仿宋_GB2312" w:eastAsia="仿宋_GB2312" w:cs="仿宋_GB2312"/>
          <w:color w:val="0E00FE"/>
          <w:kern w:val="0"/>
          <w:sz w:val="28"/>
          <w:szCs w:val="28"/>
        </w:rPr>
        <w:t xml:space="preserve"> </w:t>
      </w:r>
    </w:p>
    <w:p w14:paraId="354C61EF">
      <w:pPr>
        <w:widowControl/>
        <w:spacing w:before="240" w:after="240"/>
        <w:jc w:val="center"/>
        <w:rPr>
          <w:rFonts w:ascii="Times New Roman" w:hAnsi="Times New Roman" w:eastAsia="Times New Roman" w:cs="Times New Roman"/>
          <w:kern w:val="0"/>
          <w:sz w:val="24"/>
        </w:rPr>
      </w:pPr>
    </w:p>
    <w:p w14:paraId="4CADECF4">
      <w:pPr>
        <w:widowControl/>
        <w:spacing w:before="240" w:after="240"/>
        <w:jc w:val="center"/>
        <w:rPr>
          <w:rFonts w:ascii="Times New Roman" w:hAnsi="Times New Roman" w:eastAsia="Times New Roman" w:cs="Times New Roman"/>
          <w:kern w:val="0"/>
          <w:sz w:val="24"/>
        </w:rPr>
      </w:pPr>
    </w:p>
    <w:p w14:paraId="3A791C5A">
      <w:pPr>
        <w:rPr>
          <w:rFonts w:hint="eastAsia" w:eastAsiaTheme="minorEastAsia"/>
          <w:lang w:eastAsia="zh-CN"/>
        </w:rPr>
      </w:pPr>
      <w:r>
        <w:rPr>
          <w:rFonts w:ascii="Times New Roman" w:hAnsi="Times New Roman" w:eastAsia="Times New Roman" w:cs="Times New Roman"/>
          <w:kern w:val="0"/>
          <w:sz w:val="24"/>
        </w:rPr>
        <w:t xml:space="preserve">  </w:t>
      </w:r>
      <w:r>
        <w:rPr>
          <w:rFonts w:hint="eastAsia" w:eastAsiaTheme="minorEastAsia"/>
          <w:lang w:eastAsia="zh-CN"/>
        </w:rPr>
        <w:drawing>
          <wp:inline distT="0" distB="0" distL="114300" distR="114300">
            <wp:extent cx="5970270" cy="3758565"/>
            <wp:effectExtent l="4445" t="4445" r="6985"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350A1E6A">
      <w:pPr>
        <w:rPr>
          <w:rFonts w:ascii="Times New Roman" w:hAnsi="Times New Roman" w:eastAsia="Times New Roman" w:cs="Times New Roman"/>
          <w:kern w:val="0"/>
          <w:sz w:val="24"/>
        </w:rPr>
      </w:pPr>
    </w:p>
    <w:p w14:paraId="2164399F">
      <w:pPr>
        <w:widowControl/>
        <w:spacing w:before="240" w:after="240"/>
        <w:jc w:val="center"/>
        <w:rPr>
          <w:rFonts w:ascii="Times New Roman" w:hAnsi="Times New Roman" w:eastAsia="Times New Roman" w:cs="Times New Roman"/>
          <w:kern w:val="0"/>
          <w:sz w:val="24"/>
        </w:rPr>
      </w:pPr>
      <w:r>
        <w:rPr>
          <w:rFonts w:ascii="仿宋_GB2312" w:hAnsi="仿宋_GB2312" w:eastAsia="仿宋_GB2312" w:cs="仿宋_GB2312"/>
          <w:kern w:val="0"/>
          <w:sz w:val="27"/>
          <w:szCs w:val="27"/>
        </w:rPr>
        <w:t>图2.支出决算图</w:t>
      </w:r>
    </w:p>
    <w:p w14:paraId="17B9944E">
      <w:pPr>
        <w:widowControl/>
        <w:spacing w:before="240" w:after="240"/>
        <w:jc w:val="left"/>
        <w:rPr>
          <w:rFonts w:hint="eastAsia" w:ascii="黑体" w:hAnsi="黑体" w:eastAsia="黑体" w:cs="黑体"/>
          <w:b/>
          <w:bCs/>
          <w:kern w:val="0"/>
          <w:sz w:val="32"/>
          <w:szCs w:val="32"/>
        </w:rPr>
      </w:pPr>
    </w:p>
    <w:p w14:paraId="1D6D0502">
      <w:pPr>
        <w:widowControl/>
        <w:spacing w:before="240" w:after="240"/>
        <w:ind w:firstLine="643" w:firstLineChars="200"/>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四、财政拨款收入支出决算总体情况说明</w:t>
      </w:r>
    </w:p>
    <w:p w14:paraId="3F9D1AB6">
      <w:pPr>
        <w:pStyle w:val="20"/>
        <w:keepNext w:val="0"/>
        <w:keepLines w:val="0"/>
        <w:widowControl/>
        <w:suppressLineNumbers w:val="0"/>
        <w:shd w:val="clear" w:fill="FFFFFF"/>
        <w:ind w:left="0" w:firstLine="640" w:firstLineChars="200"/>
        <w:rPr>
          <w:rFonts w:hint="eastAsia" w:ascii="仿宋_GB2312" w:hAnsi="仿宋_GB2312" w:eastAsia="仿宋_GB2312" w:cs="仿宋_GB2312"/>
          <w:kern w:val="0"/>
          <w:sz w:val="32"/>
          <w:szCs w:val="32"/>
          <w:u w:val="none"/>
          <w:lang w:val="en-US" w:eastAsia="zh-CN" w:bidi="ar-SA"/>
        </w:rPr>
      </w:pPr>
      <w:r>
        <w:rPr>
          <w:rFonts w:hint="eastAsia" w:ascii="仿宋_GB2312" w:hAnsi="仿宋_GB2312" w:eastAsia="仿宋_GB2312" w:cs="仿宋_GB2312"/>
          <w:kern w:val="0"/>
          <w:sz w:val="32"/>
          <w:szCs w:val="32"/>
          <w:u w:val="none"/>
          <w:lang w:val="en-US" w:eastAsia="zh-CN" w:bidi="ar-SA"/>
        </w:rPr>
        <w:t>赤峰市强制隔离戒毒所 2025年度财政拨款收入、支出决算总计 1488.03万元，与年初预算相比，收、支总计各减少203.48万元，减少12.03%，变动原因：1.由于本年在职人数减少人员经费比年初预算减少；2.援疆补助费在本年未完全支出。与上年决算相比，收、支总计各减少65.64万元，减少4.22%，变动原因：因为本年度在职人数较上年减少，人员费用较上年减少。</w:t>
      </w:r>
    </w:p>
    <w:p w14:paraId="10EBC225">
      <w:pPr>
        <w:widowControl/>
        <w:spacing w:before="240" w:after="240"/>
        <w:ind w:firstLine="643" w:firstLineChars="200"/>
        <w:jc w:val="left"/>
        <w:rPr>
          <w:rFonts w:ascii="Times New Roman" w:hAnsi="Times New Roman" w:eastAsia="Times New Roman" w:cs="Times New Roman"/>
          <w:kern w:val="0"/>
          <w:sz w:val="28"/>
          <w:szCs w:val="28"/>
        </w:rPr>
      </w:pPr>
      <w:r>
        <w:rPr>
          <w:rFonts w:hint="eastAsia" w:ascii="黑体" w:hAnsi="黑体" w:eastAsia="黑体" w:cs="黑体"/>
          <w:b/>
          <w:bCs/>
          <w:kern w:val="0"/>
          <w:sz w:val="32"/>
          <w:szCs w:val="32"/>
        </w:rPr>
        <w:t>五、一般公共预算财政拨款支出决算情况说明</w:t>
      </w:r>
    </w:p>
    <w:p w14:paraId="7A985203">
      <w:pPr>
        <w:widowControl/>
        <w:spacing w:before="240" w:after="240"/>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年度一般公共预算财政拨款支出决算</w:t>
      </w:r>
      <w:r>
        <w:rPr>
          <w:rFonts w:hint="eastAsia" w:ascii="仿宋_GB2312" w:hAnsi="仿宋_GB2312" w:eastAsia="仿宋_GB2312" w:cs="仿宋_GB2312"/>
          <w:kern w:val="0"/>
          <w:sz w:val="32"/>
          <w:szCs w:val="32"/>
          <w:lang w:val="en-US" w:eastAsia="zh-CN"/>
        </w:rPr>
        <w:t>1420.98</w:t>
      </w:r>
      <w:r>
        <w:rPr>
          <w:rFonts w:hint="eastAsia" w:ascii="仿宋_GB2312" w:hAnsi="仿宋_GB2312" w:eastAsia="仿宋_GB2312" w:cs="仿宋_GB2312"/>
          <w:kern w:val="0"/>
          <w:sz w:val="32"/>
          <w:szCs w:val="32"/>
        </w:rPr>
        <w:t> 万元。与年初预算</w:t>
      </w:r>
      <w:r>
        <w:rPr>
          <w:rFonts w:hint="eastAsia" w:ascii="仿宋_GB2312" w:hAnsi="仿宋_GB2312" w:eastAsia="仿宋_GB2312" w:cs="仿宋_GB2312"/>
          <w:kern w:val="0"/>
          <w:sz w:val="32"/>
          <w:szCs w:val="32"/>
          <w:lang w:val="en-US" w:eastAsia="zh-CN"/>
        </w:rPr>
        <w:t>1691.51</w:t>
      </w:r>
      <w:r>
        <w:rPr>
          <w:rFonts w:hint="eastAsia" w:ascii="仿宋_GB2312" w:hAnsi="仿宋_GB2312" w:eastAsia="仿宋_GB2312" w:cs="仿宋_GB2312"/>
          <w:kern w:val="0"/>
          <w:sz w:val="32"/>
          <w:szCs w:val="32"/>
        </w:rPr>
        <w:t xml:space="preserve">万元相比，完成年初预算的 </w:t>
      </w:r>
      <w:r>
        <w:rPr>
          <w:rFonts w:hint="eastAsia" w:ascii="仿宋_GB2312" w:hAnsi="仿宋_GB2312" w:eastAsia="仿宋_GB2312" w:cs="仿宋_GB2312"/>
          <w:kern w:val="0"/>
          <w:sz w:val="32"/>
          <w:szCs w:val="32"/>
          <w:lang w:val="en-US" w:eastAsia="zh-CN"/>
        </w:rPr>
        <w:t>84.01</w:t>
      </w:r>
      <w:r>
        <w:rPr>
          <w:rFonts w:hint="eastAsia" w:ascii="仿宋_GB2312" w:hAnsi="仿宋_GB2312" w:eastAsia="仿宋_GB2312" w:cs="仿宋_GB2312"/>
          <w:kern w:val="0"/>
          <w:sz w:val="32"/>
          <w:szCs w:val="32"/>
        </w:rPr>
        <w:t>%。其中：</w:t>
      </w:r>
    </w:p>
    <w:p w14:paraId="3F6B0BC1">
      <w:pPr>
        <w:widowControl/>
        <w:numPr>
          <w:numId w:val="0"/>
        </w:numPr>
        <w:spacing w:before="240" w:after="240"/>
        <w:ind w:left="499" w:leftChars="0"/>
        <w:jc w:val="left"/>
        <w:rPr>
          <w:rFonts w:hint="eastAsia" w:ascii="楷体" w:hAnsi="楷体" w:eastAsia="楷体" w:cs="楷体"/>
          <w:b/>
          <w:bCs/>
          <w:kern w:val="0"/>
          <w:sz w:val="32"/>
          <w:szCs w:val="32"/>
        </w:rPr>
      </w:pP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lang w:val="en-US" w:eastAsia="zh-CN"/>
        </w:rPr>
        <w:t>一）</w:t>
      </w:r>
      <w:r>
        <w:rPr>
          <w:rFonts w:hint="eastAsia" w:ascii="楷体" w:hAnsi="楷体" w:eastAsia="楷体" w:cs="楷体"/>
          <w:b/>
          <w:bCs/>
          <w:kern w:val="0"/>
          <w:sz w:val="32"/>
          <w:szCs w:val="32"/>
        </w:rPr>
        <w:t>公共安全（类）</w:t>
      </w:r>
    </w:p>
    <w:p w14:paraId="1038C4F8">
      <w:pPr>
        <w:pageBreakBefore w:val="0"/>
        <w:widowControl/>
        <w:numPr>
          <w:ilvl w:val="0"/>
          <w:numId w:val="0"/>
        </w:numPr>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rPr>
        <w:t>公共安全（类）决算数为 </w:t>
      </w:r>
      <w:r>
        <w:rPr>
          <w:rFonts w:hint="eastAsia" w:ascii="仿宋_GB2312" w:hAnsi="仿宋_GB2312" w:eastAsia="仿宋_GB2312" w:cs="仿宋_GB2312"/>
          <w:kern w:val="0"/>
          <w:sz w:val="32"/>
          <w:szCs w:val="32"/>
          <w:lang w:val="en-US" w:eastAsia="zh-CN"/>
        </w:rPr>
        <w:t>1108.47</w:t>
      </w:r>
      <w:r>
        <w:rPr>
          <w:rFonts w:hint="eastAsia" w:ascii="仿宋_GB2312" w:hAnsi="仿宋_GB2312" w:eastAsia="仿宋_GB2312" w:cs="仿宋_GB2312"/>
          <w:kern w:val="0"/>
          <w:sz w:val="32"/>
          <w:szCs w:val="32"/>
        </w:rPr>
        <w:t>万元，与年初预算相比</w:t>
      </w:r>
      <w:r>
        <w:rPr>
          <w:rFonts w:hint="eastAsia" w:ascii="仿宋_GB2312" w:hAnsi="仿宋_GB2312" w:eastAsia="仿宋_GB2312" w:cs="仿宋_GB2312"/>
          <w:kern w:val="0"/>
          <w:sz w:val="32"/>
          <w:szCs w:val="32"/>
          <w:lang w:val="en-US" w:eastAsia="zh-CN"/>
        </w:rPr>
        <w:t>增加55.52</w:t>
      </w:r>
      <w:r>
        <w:rPr>
          <w:rFonts w:hint="eastAsia" w:ascii="仿宋_GB2312" w:hAnsi="仿宋_GB2312" w:eastAsia="仿宋_GB2312" w:cs="仿宋_GB2312"/>
          <w:kern w:val="0"/>
          <w:sz w:val="32"/>
          <w:szCs w:val="32"/>
        </w:rPr>
        <w:t>万元。其</w:t>
      </w:r>
      <w:r>
        <w:rPr>
          <w:rFonts w:hint="eastAsia" w:ascii="仿宋_GB2312" w:hAnsi="仿宋_GB2312" w:eastAsia="仿宋_GB2312" w:cs="仿宋_GB2312"/>
          <w:kern w:val="0"/>
          <w:sz w:val="32"/>
          <w:szCs w:val="32"/>
          <w:lang w:val="en-US" w:eastAsia="zh-CN"/>
        </w:rPr>
        <w:t>中：</w:t>
      </w:r>
    </w:p>
    <w:p w14:paraId="02D292D0">
      <w:pPr>
        <w:pageBreakBefore w:val="0"/>
        <w:widowControl/>
        <w:numPr>
          <w:ilvl w:val="0"/>
          <w:numId w:val="0"/>
        </w:numPr>
        <w:kinsoku/>
        <w:wordWrap/>
        <w:overflowPunct/>
        <w:topLinePunct w:val="0"/>
        <w:autoSpaceDE/>
        <w:autoSpaceDN/>
        <w:bidi w:val="0"/>
        <w:spacing w:line="580" w:lineRule="exact"/>
        <w:ind w:firstLine="640" w:firstLineChars="200"/>
        <w:jc w:val="left"/>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1、强制隔离戒毒（款）行政运行（项）。年初预算</w:t>
      </w:r>
      <w:r>
        <w:rPr>
          <w:rFonts w:hint="eastAsia" w:ascii="仿宋_GB2312" w:hAnsi="仿宋_GB2312" w:eastAsia="仿宋_GB2312" w:cs="仿宋_GB2312"/>
          <w:kern w:val="0"/>
          <w:sz w:val="32"/>
          <w:szCs w:val="32"/>
          <w:lang w:val="en-US" w:eastAsia="zh-CN"/>
        </w:rPr>
        <w:t>1278.31万元，决算支出</w:t>
      </w:r>
      <w:r>
        <w:rPr>
          <w:rFonts w:hint="eastAsia" w:ascii="仿宋_GB2312" w:hAnsi="仿宋_GB2312" w:eastAsia="仿宋_GB2312" w:cs="仿宋_GB2312"/>
          <w:kern w:val="0"/>
          <w:sz w:val="32"/>
          <w:szCs w:val="32"/>
          <w:lang w:val="en-US" w:eastAsia="zh-CN"/>
        </w:rPr>
        <w:t>1073.84万元，完成年初预算的</w:t>
      </w:r>
      <w:r>
        <w:rPr>
          <w:rFonts w:hint="eastAsia" w:ascii="仿宋_GB2312" w:hAnsi="仿宋_GB2312" w:eastAsia="仿宋_GB2312" w:cs="仿宋_GB2312"/>
          <w:kern w:val="0"/>
          <w:sz w:val="32"/>
          <w:szCs w:val="32"/>
          <w:lang w:val="en-US" w:eastAsia="zh-CN"/>
        </w:rPr>
        <w:t>84.00 %。决算数与年初预算数的差异原因：</w:t>
      </w:r>
      <w:r>
        <w:rPr>
          <w:rFonts w:hint="eastAsia" w:ascii="仿宋_GB2312" w:hAnsi="仿宋_GB2312" w:eastAsia="仿宋_GB2312" w:cs="仿宋_GB2312"/>
          <w:kern w:val="0"/>
          <w:sz w:val="32"/>
          <w:szCs w:val="32"/>
          <w:lang w:val="en-US" w:eastAsia="zh-CN"/>
        </w:rPr>
        <w:t>本年度在职人员和退休人员减少人员经费减少。</w:t>
      </w:r>
    </w:p>
    <w:p w14:paraId="0BA96F45">
      <w:pPr>
        <w:pageBreakBefore w:val="0"/>
        <w:widowControl/>
        <w:numPr>
          <w:ilvl w:val="0"/>
          <w:numId w:val="0"/>
        </w:numPr>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2、强制隔离戒毒（款）一般行政管理事务（项）。年初预算</w:t>
      </w:r>
      <w:r>
        <w:rPr>
          <w:rFonts w:hint="eastAsia" w:ascii="仿宋_GB2312" w:hAnsi="仿宋_GB2312" w:eastAsia="仿宋_GB2312" w:cs="仿宋_GB2312"/>
          <w:kern w:val="0"/>
          <w:sz w:val="32"/>
          <w:szCs w:val="32"/>
          <w:lang w:val="en-US" w:eastAsia="zh-CN"/>
        </w:rPr>
        <w:t>78.66万元，决算支出</w:t>
      </w:r>
      <w:r>
        <w:rPr>
          <w:rFonts w:hint="eastAsia" w:ascii="仿宋_GB2312" w:hAnsi="仿宋_GB2312" w:eastAsia="仿宋_GB2312" w:cs="仿宋_GB2312"/>
          <w:kern w:val="0"/>
          <w:sz w:val="32"/>
          <w:szCs w:val="32"/>
          <w:lang w:val="en-US" w:eastAsia="zh-CN"/>
        </w:rPr>
        <w:t>34.63万元，完成年初预算的</w:t>
      </w:r>
      <w:r>
        <w:rPr>
          <w:rFonts w:hint="eastAsia" w:ascii="仿宋_GB2312" w:hAnsi="仿宋_GB2312" w:eastAsia="仿宋_GB2312" w:cs="仿宋_GB2312"/>
          <w:kern w:val="0"/>
          <w:sz w:val="32"/>
          <w:szCs w:val="32"/>
          <w:lang w:val="en-US" w:eastAsia="zh-CN"/>
        </w:rPr>
        <w:t>44.02%。决算数与年初预算数的差异原因：由于援疆工作天数与预算有差异所以援疆补</w:t>
      </w:r>
      <w:r>
        <w:rPr>
          <w:rFonts w:hint="eastAsia" w:ascii="仿宋_GB2312" w:hAnsi="仿宋_GB2312" w:eastAsia="仿宋_GB2312" w:cs="仿宋_GB2312"/>
          <w:kern w:val="0"/>
          <w:sz w:val="32"/>
          <w:szCs w:val="32"/>
          <w:lang w:eastAsia="zh-CN"/>
        </w:rPr>
        <w:t>助经费未全额支出</w:t>
      </w:r>
      <w:r>
        <w:rPr>
          <w:rFonts w:hint="eastAsia" w:ascii="仿宋_GB2312" w:hAnsi="仿宋_GB2312" w:eastAsia="仿宋_GB2312" w:cs="仿宋_GB2312"/>
          <w:kern w:val="0"/>
          <w:sz w:val="32"/>
          <w:szCs w:val="32"/>
        </w:rPr>
        <w:t>。</w:t>
      </w:r>
    </w:p>
    <w:p w14:paraId="568E2546">
      <w:pPr>
        <w:widowControl/>
        <w:spacing w:before="240" w:after="240"/>
        <w:jc w:val="left"/>
        <w:rPr>
          <w:rFonts w:hint="eastAsia" w:ascii="楷体" w:hAnsi="楷体" w:eastAsia="楷体" w:cs="楷体"/>
          <w:b/>
          <w:bCs/>
          <w:kern w:val="0"/>
          <w:sz w:val="32"/>
          <w:szCs w:val="32"/>
        </w:rPr>
      </w:pPr>
      <w:r>
        <w:rPr>
          <w:rFonts w:ascii="kai_ti_gb2312" w:hAnsi="kai_ti_gb2312" w:eastAsia="kai_ti_gb2312" w:cs="kai_ti_gb2312"/>
          <w:b/>
          <w:bCs/>
          <w:color w:val="000000"/>
          <w:kern w:val="0"/>
          <w:sz w:val="28"/>
          <w:szCs w:val="28"/>
        </w:rPr>
        <w:t>   </w:t>
      </w:r>
      <w:r>
        <w:rPr>
          <w:rFonts w:hint="eastAsia" w:ascii="楷体" w:hAnsi="楷体" w:eastAsia="楷体" w:cs="楷体"/>
          <w:b/>
          <w:bCs/>
          <w:kern w:val="0"/>
          <w:sz w:val="32"/>
          <w:szCs w:val="32"/>
        </w:rPr>
        <w:t xml:space="preserve"> （</w:t>
      </w:r>
      <w:r>
        <w:rPr>
          <w:rFonts w:hint="eastAsia" w:ascii="楷体" w:hAnsi="楷体" w:eastAsia="楷体" w:cs="楷体"/>
          <w:b/>
          <w:bCs/>
          <w:kern w:val="0"/>
          <w:sz w:val="32"/>
          <w:szCs w:val="32"/>
          <w:lang w:val="en-US" w:eastAsia="zh-CN"/>
        </w:rPr>
        <w:t>二</w:t>
      </w:r>
      <w:r>
        <w:rPr>
          <w:rFonts w:hint="eastAsia" w:ascii="楷体" w:hAnsi="楷体" w:eastAsia="楷体" w:cs="楷体"/>
          <w:b/>
          <w:bCs/>
          <w:kern w:val="0"/>
          <w:sz w:val="32"/>
          <w:szCs w:val="32"/>
        </w:rPr>
        <w:t>）社会保障和就业支出（类）</w:t>
      </w:r>
    </w:p>
    <w:p w14:paraId="5A404A53">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ascii="Calibri" w:hAnsi="Calibri" w:eastAsia="Calibri" w:cs="Calibri"/>
          <w:color w:val="000000"/>
          <w:kern w:val="0"/>
          <w:sz w:val="28"/>
          <w:szCs w:val="28"/>
        </w:rPr>
        <w:t> </w:t>
      </w:r>
      <w:r>
        <w:rPr>
          <w:rFonts w:ascii="仿宋_GB2312" w:hAnsi="仿宋_GB2312" w:eastAsia="仿宋_GB2312" w:cs="仿宋_GB2312"/>
          <w:color w:val="000000"/>
          <w:kern w:val="0"/>
          <w:sz w:val="28"/>
          <w:szCs w:val="28"/>
        </w:rPr>
        <w:t xml:space="preserve"> </w:t>
      </w:r>
      <w:r>
        <w:rPr>
          <w:rFonts w:ascii="Calibri" w:hAnsi="Calibri" w:eastAsia="Calibri" w:cs="Calibri"/>
          <w:color w:val="000000"/>
          <w:kern w:val="0"/>
          <w:sz w:val="28"/>
          <w:szCs w:val="28"/>
        </w:rPr>
        <w:t> </w:t>
      </w:r>
      <w:r>
        <w:rPr>
          <w:rFonts w:ascii="仿宋_GB2312" w:hAnsi="仿宋_GB2312" w:eastAsia="仿宋_GB2312" w:cs="仿宋_GB2312"/>
          <w:color w:val="000000"/>
          <w:kern w:val="0"/>
          <w:sz w:val="28"/>
          <w:szCs w:val="28"/>
        </w:rPr>
        <w:t xml:space="preserve"> </w:t>
      </w:r>
      <w:r>
        <w:rPr>
          <w:rFonts w:hint="eastAsia" w:ascii="仿宋_GB2312" w:hAnsi="仿宋_GB2312" w:eastAsia="仿宋_GB2312" w:cs="仿宋_GB2312"/>
          <w:color w:val="000000"/>
          <w:kern w:val="0"/>
          <w:sz w:val="28"/>
          <w:szCs w:val="28"/>
          <w:lang w:val="en-US" w:eastAsia="zh-CN"/>
        </w:rPr>
        <w:t xml:space="preserve">  </w:t>
      </w:r>
      <w:r>
        <w:rPr>
          <w:rFonts w:hint="eastAsia" w:ascii="仿宋_GB2312" w:hAnsi="仿宋_GB2312" w:eastAsia="仿宋_GB2312" w:cs="仿宋_GB2312"/>
          <w:kern w:val="0"/>
          <w:sz w:val="32"/>
          <w:szCs w:val="32"/>
        </w:rPr>
        <w:t>社会保障和就业支出（类）决算数为</w:t>
      </w:r>
      <w:r>
        <w:rPr>
          <w:rFonts w:hint="eastAsia" w:ascii="仿宋_GB2312" w:hAnsi="仿宋_GB2312" w:eastAsia="仿宋_GB2312" w:cs="仿宋_GB2312"/>
          <w:kern w:val="0"/>
          <w:sz w:val="32"/>
          <w:szCs w:val="32"/>
          <w:lang w:val="en-US" w:eastAsia="zh-CN"/>
        </w:rPr>
        <w:t>151.91</w:t>
      </w:r>
      <w:r>
        <w:rPr>
          <w:rFonts w:hint="eastAsia" w:ascii="仿宋_GB2312" w:hAnsi="仿宋_GB2312" w:eastAsia="仿宋_GB2312" w:cs="仿宋_GB2312"/>
          <w:kern w:val="0"/>
          <w:sz w:val="32"/>
          <w:szCs w:val="32"/>
        </w:rPr>
        <w:t>万元，与年初预算相比</w:t>
      </w:r>
      <w:r>
        <w:rPr>
          <w:rFonts w:hint="eastAsia" w:ascii="仿宋_GB2312" w:hAnsi="仿宋_GB2312" w:eastAsia="仿宋_GB2312" w:cs="仿宋_GB2312"/>
          <w:kern w:val="0"/>
          <w:sz w:val="32"/>
          <w:szCs w:val="32"/>
          <w:lang w:val="en-US" w:eastAsia="zh-CN"/>
        </w:rPr>
        <w:t>减少29.86</w:t>
      </w:r>
      <w:r>
        <w:rPr>
          <w:rFonts w:hint="eastAsia" w:ascii="仿宋_GB2312" w:hAnsi="仿宋_GB2312" w:eastAsia="仿宋_GB2312" w:cs="仿宋_GB2312"/>
          <w:kern w:val="0"/>
          <w:sz w:val="32"/>
          <w:szCs w:val="32"/>
        </w:rPr>
        <w:t>万元。其中：</w:t>
      </w:r>
    </w:p>
    <w:p w14:paraId="1AE726F3">
      <w:pPr>
        <w:pageBreakBefore w:val="0"/>
        <w:widowControl/>
        <w:numPr>
          <w:ilvl w:val="0"/>
          <w:numId w:val="0"/>
        </w:numPr>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1.</w:t>
      </w:r>
      <w:r>
        <w:rPr>
          <w:rFonts w:hint="eastAsia" w:ascii="仿宋_GB2312" w:hAnsi="仿宋_GB2312" w:eastAsia="仿宋_GB2312" w:cs="仿宋_GB2312"/>
          <w:kern w:val="0"/>
          <w:sz w:val="32"/>
          <w:szCs w:val="32"/>
        </w:rPr>
        <w:t>行政事业单位养老支出（款）行政单位离退休（项）。年初预算</w:t>
      </w:r>
      <w:r>
        <w:rPr>
          <w:rFonts w:hint="eastAsia" w:ascii="仿宋_GB2312" w:hAnsi="仿宋_GB2312" w:eastAsia="仿宋_GB2312" w:cs="仿宋_GB2312"/>
          <w:kern w:val="0"/>
          <w:sz w:val="32"/>
          <w:szCs w:val="32"/>
          <w:lang w:val="en-US" w:eastAsia="zh-CN"/>
        </w:rPr>
        <w:t>79.24</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lang w:val="en-US" w:eastAsia="zh-CN"/>
        </w:rPr>
        <w:t>51.07</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64.45</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由于</w:t>
      </w:r>
      <w:r>
        <w:rPr>
          <w:rFonts w:hint="eastAsia" w:ascii="仿宋_GB2312" w:hAnsi="仿宋_GB2312" w:eastAsia="仿宋_GB2312" w:cs="仿宋_GB2312"/>
          <w:kern w:val="0"/>
          <w:sz w:val="32"/>
          <w:szCs w:val="32"/>
          <w:lang w:val="en-US" w:eastAsia="zh-CN"/>
        </w:rPr>
        <w:t>2025年度退休人数较年初预算减少所以支出减少</w:t>
      </w:r>
      <w:r>
        <w:rPr>
          <w:rFonts w:hint="eastAsia" w:ascii="仿宋_GB2312" w:hAnsi="仿宋_GB2312" w:eastAsia="仿宋_GB2312" w:cs="仿宋_GB2312"/>
          <w:kern w:val="0"/>
          <w:sz w:val="32"/>
          <w:szCs w:val="32"/>
        </w:rPr>
        <w:t>。</w:t>
      </w:r>
    </w:p>
    <w:p w14:paraId="3659571E">
      <w:pPr>
        <w:pageBreakBefore w:val="0"/>
        <w:widowControl/>
        <w:numPr>
          <w:numId w:val="0"/>
        </w:numPr>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2</w:t>
      </w:r>
      <w:r>
        <w:rPr>
          <w:rFonts w:hint="eastAsia" w:ascii="仿宋_GB2312" w:hAnsi="仿宋_GB2312" w:eastAsia="仿宋_GB2312" w:cs="仿宋_GB2312"/>
          <w:kern w:val="0"/>
          <w:sz w:val="32"/>
          <w:szCs w:val="32"/>
        </w:rPr>
        <w:t>．行政事业单位养老支出（款）机关事业单位基本养老保险缴费支出（项）。年初预算</w:t>
      </w:r>
      <w:r>
        <w:rPr>
          <w:rFonts w:hint="eastAsia" w:ascii="仿宋_GB2312" w:hAnsi="仿宋_GB2312" w:eastAsia="仿宋_GB2312" w:cs="仿宋_GB2312"/>
          <w:kern w:val="0"/>
          <w:sz w:val="32"/>
          <w:szCs w:val="32"/>
          <w:lang w:val="en-US" w:eastAsia="zh-CN"/>
        </w:rPr>
        <w:t>100.77</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lang w:val="en-US" w:eastAsia="zh-CN"/>
        </w:rPr>
        <w:t>99.3</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98.54</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由于</w:t>
      </w:r>
      <w:r>
        <w:rPr>
          <w:rFonts w:hint="eastAsia" w:ascii="仿宋_GB2312" w:hAnsi="仿宋_GB2312" w:eastAsia="仿宋_GB2312" w:cs="仿宋_GB2312"/>
          <w:kern w:val="0"/>
          <w:sz w:val="32"/>
          <w:szCs w:val="32"/>
          <w:lang w:val="en-US" w:eastAsia="zh-CN"/>
        </w:rPr>
        <w:t>2025年度在职人员人数较年初预算减少所以基本养老保险缴费支出减少</w:t>
      </w:r>
      <w:r>
        <w:rPr>
          <w:rFonts w:hint="eastAsia" w:ascii="仿宋_GB2312" w:hAnsi="仿宋_GB2312" w:eastAsia="仿宋_GB2312" w:cs="仿宋_GB2312"/>
          <w:kern w:val="0"/>
          <w:sz w:val="32"/>
          <w:szCs w:val="32"/>
        </w:rPr>
        <w:t>。</w:t>
      </w:r>
    </w:p>
    <w:p w14:paraId="1492B3C0">
      <w:pPr>
        <w:pageBreakBefore w:val="0"/>
        <w:widowControl/>
        <w:numPr>
          <w:ilvl w:val="0"/>
          <w:numId w:val="0"/>
        </w:numPr>
        <w:kinsoku/>
        <w:wordWrap/>
        <w:overflowPunct/>
        <w:topLinePunct w:val="0"/>
        <w:autoSpaceDE/>
        <w:autoSpaceDN/>
        <w:bidi w:val="0"/>
        <w:spacing w:line="580" w:lineRule="exact"/>
        <w:ind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lang w:val="en-US" w:eastAsia="zh-CN"/>
        </w:rPr>
        <w:t>3.</w:t>
      </w:r>
      <w:r>
        <w:rPr>
          <w:rFonts w:hint="eastAsia" w:ascii="仿宋_GB2312" w:hAnsi="仿宋_GB2312" w:eastAsia="仿宋_GB2312" w:cs="仿宋_GB2312"/>
          <w:kern w:val="0"/>
          <w:sz w:val="32"/>
          <w:szCs w:val="32"/>
          <w:lang w:eastAsia="zh-CN"/>
        </w:rPr>
        <w:t>其他社会保障和就业支出</w:t>
      </w:r>
      <w:r>
        <w:rPr>
          <w:rFonts w:hint="eastAsia" w:ascii="仿宋_GB2312" w:hAnsi="仿宋_GB2312" w:eastAsia="仿宋_GB2312" w:cs="仿宋_GB2312"/>
          <w:kern w:val="0"/>
          <w:sz w:val="32"/>
          <w:szCs w:val="32"/>
        </w:rPr>
        <w:t>（款）</w:t>
      </w:r>
      <w:r>
        <w:rPr>
          <w:rFonts w:hint="eastAsia" w:ascii="仿宋_GB2312" w:hAnsi="仿宋_GB2312" w:eastAsia="仿宋_GB2312" w:cs="仿宋_GB2312"/>
          <w:kern w:val="0"/>
          <w:sz w:val="32"/>
          <w:szCs w:val="32"/>
          <w:lang w:eastAsia="zh-CN"/>
        </w:rPr>
        <w:t>其他社会保障和就业支出</w:t>
      </w:r>
      <w:r>
        <w:rPr>
          <w:rFonts w:hint="eastAsia" w:ascii="仿宋_GB2312" w:hAnsi="仿宋_GB2312" w:eastAsia="仿宋_GB2312" w:cs="仿宋_GB2312"/>
          <w:kern w:val="0"/>
          <w:sz w:val="32"/>
          <w:szCs w:val="32"/>
        </w:rPr>
        <w:t>（项）</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年初预算</w:t>
      </w:r>
      <w:r>
        <w:rPr>
          <w:rFonts w:hint="eastAsia" w:ascii="仿宋_GB2312" w:hAnsi="仿宋_GB2312" w:eastAsia="仿宋_GB2312" w:cs="仿宋_GB2312"/>
          <w:kern w:val="0"/>
          <w:sz w:val="32"/>
          <w:szCs w:val="32"/>
          <w:lang w:val="en-US" w:eastAsia="zh-CN"/>
        </w:rPr>
        <w:t>1.76</w:t>
      </w:r>
      <w:r>
        <w:rPr>
          <w:rFonts w:hint="eastAsia" w:ascii="仿宋_GB2312" w:hAnsi="仿宋_GB2312" w:eastAsia="仿宋_GB2312" w:cs="仿宋_GB2312"/>
          <w:kern w:val="0"/>
          <w:sz w:val="32"/>
          <w:szCs w:val="32"/>
        </w:rPr>
        <w:t>万元，决算支出</w:t>
      </w:r>
      <w:r>
        <w:rPr>
          <w:rFonts w:hint="eastAsia" w:ascii="仿宋_GB2312" w:hAnsi="仿宋_GB2312" w:eastAsia="仿宋_GB2312" w:cs="仿宋_GB2312"/>
          <w:kern w:val="0"/>
          <w:sz w:val="32"/>
          <w:szCs w:val="32"/>
          <w:lang w:val="en-US" w:eastAsia="zh-CN"/>
        </w:rPr>
        <w:t>1.55</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 xml:space="preserve">88.07 </w:t>
      </w:r>
      <w:r>
        <w:rPr>
          <w:rFonts w:hint="eastAsia" w:ascii="仿宋_GB2312" w:hAnsi="仿宋_GB2312" w:eastAsia="仿宋_GB2312" w:cs="仿宋_GB2312"/>
          <w:kern w:val="0"/>
          <w:sz w:val="32"/>
          <w:szCs w:val="32"/>
        </w:rPr>
        <w:t>%。</w:t>
      </w:r>
      <w:r>
        <w:rPr>
          <w:rFonts w:hint="eastAsia" w:ascii="仿宋_GB2312" w:hAnsi="仿宋_GB2312" w:eastAsia="仿宋_GB2312" w:cs="仿宋_GB2312"/>
          <w:kern w:val="0"/>
          <w:sz w:val="32"/>
          <w:szCs w:val="32"/>
          <w:lang w:eastAsia="zh-CN"/>
        </w:rPr>
        <w:t>由于</w:t>
      </w:r>
      <w:r>
        <w:rPr>
          <w:rFonts w:hint="eastAsia" w:ascii="仿宋_GB2312" w:hAnsi="仿宋_GB2312" w:eastAsia="仿宋_GB2312" w:cs="仿宋_GB2312"/>
          <w:kern w:val="0"/>
          <w:sz w:val="32"/>
          <w:szCs w:val="32"/>
          <w:lang w:val="en-US" w:eastAsia="zh-CN"/>
        </w:rPr>
        <w:t>2025年度在职人员人数较年初预算减少所以基本养老保险缴费支出减少</w:t>
      </w:r>
      <w:r>
        <w:rPr>
          <w:rFonts w:hint="eastAsia" w:ascii="仿宋_GB2312" w:hAnsi="仿宋_GB2312" w:eastAsia="仿宋_GB2312" w:cs="仿宋_GB2312"/>
          <w:kern w:val="0"/>
          <w:sz w:val="32"/>
          <w:szCs w:val="32"/>
        </w:rPr>
        <w:t>。</w:t>
      </w:r>
    </w:p>
    <w:p w14:paraId="15038FD6">
      <w:pPr>
        <w:pStyle w:val="21"/>
        <w:rPr>
          <w:rFonts w:hint="eastAsia"/>
          <w:lang w:val="en-US" w:eastAsia="zh-CN"/>
        </w:rPr>
      </w:pPr>
    </w:p>
    <w:p w14:paraId="7628C59A">
      <w:pPr>
        <w:pageBreakBefore w:val="0"/>
        <w:widowControl/>
        <w:numPr>
          <w:numId w:val="0"/>
        </w:numPr>
        <w:kinsoku/>
        <w:wordWrap/>
        <w:overflowPunct/>
        <w:topLinePunct w:val="0"/>
        <w:autoSpaceDE/>
        <w:autoSpaceDN/>
        <w:bidi w:val="0"/>
        <w:spacing w:line="580" w:lineRule="exact"/>
        <w:ind w:left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lang w:val="en-US" w:eastAsia="zh-CN"/>
        </w:rPr>
        <w:t>三）</w:t>
      </w:r>
      <w:r>
        <w:rPr>
          <w:rFonts w:hint="eastAsia" w:ascii="楷体" w:hAnsi="楷体" w:eastAsia="楷体" w:cs="楷体"/>
          <w:b/>
          <w:bCs/>
          <w:kern w:val="0"/>
          <w:sz w:val="32"/>
          <w:szCs w:val="32"/>
        </w:rPr>
        <w:t>卫生健康支出（类）</w:t>
      </w:r>
    </w:p>
    <w:p w14:paraId="692D41FC">
      <w:pPr>
        <w:pStyle w:val="21"/>
        <w:numPr>
          <w:numId w:val="0"/>
        </w:numPr>
        <w:ind w:leftChars="200"/>
        <w:rPr>
          <w:rFonts w:hint="eastAsia"/>
        </w:rPr>
      </w:pPr>
    </w:p>
    <w:p w14:paraId="1C944DDA">
      <w:pPr>
        <w:pageBreakBefore w:val="0"/>
        <w:widowControl/>
        <w:kinsoku/>
        <w:wordWrap/>
        <w:overflowPunct/>
        <w:topLinePunct w:val="0"/>
        <w:autoSpaceDE/>
        <w:autoSpaceDN/>
        <w:bidi w:val="0"/>
        <w:spacing w:line="580" w:lineRule="exact"/>
        <w:ind w:left="0" w:leftChars="0" w:firstLine="560" w:firstLineChars="200"/>
        <w:textAlignment w:val="auto"/>
        <w:rPr>
          <w:rFonts w:hint="eastAsia" w:ascii="仿宋_GB2312" w:hAnsi="仿宋_GB2312" w:eastAsia="仿宋_GB2312" w:cs="仿宋_GB2312"/>
          <w:kern w:val="0"/>
          <w:sz w:val="32"/>
          <w:szCs w:val="32"/>
        </w:rPr>
      </w:pPr>
      <w:r>
        <w:rPr>
          <w:rFonts w:ascii="Calibri" w:hAnsi="Calibri" w:eastAsia="Calibri" w:cs="Calibri"/>
          <w:color w:val="000000"/>
          <w:kern w:val="0"/>
          <w:sz w:val="28"/>
          <w:szCs w:val="28"/>
        </w:rPr>
        <w:t> </w:t>
      </w:r>
      <w:r>
        <w:rPr>
          <w:rFonts w:ascii="仿宋_GB2312" w:hAnsi="仿宋_GB2312" w:eastAsia="仿宋_GB2312" w:cs="仿宋_GB2312"/>
          <w:color w:val="000000"/>
          <w:kern w:val="0"/>
          <w:sz w:val="28"/>
          <w:szCs w:val="28"/>
          <w:u w:val="none" w:color="auto"/>
        </w:rPr>
        <w:t xml:space="preserve"> </w:t>
      </w:r>
      <w:r>
        <w:rPr>
          <w:rFonts w:hint="eastAsia" w:ascii="仿宋_GB2312" w:hAnsi="仿宋_GB2312" w:eastAsia="仿宋_GB2312" w:cs="仿宋_GB2312"/>
          <w:kern w:val="0"/>
          <w:sz w:val="32"/>
          <w:szCs w:val="32"/>
        </w:rPr>
        <w:t>卫生健康支出（类）决算数为 </w:t>
      </w:r>
      <w:r>
        <w:rPr>
          <w:rFonts w:hint="eastAsia" w:ascii="仿宋_GB2312" w:hAnsi="仿宋_GB2312" w:eastAsia="仿宋_GB2312" w:cs="仿宋_GB2312"/>
          <w:kern w:val="0"/>
          <w:sz w:val="32"/>
          <w:szCs w:val="32"/>
          <w:lang w:val="en-US" w:eastAsia="zh-CN"/>
        </w:rPr>
        <w:t>59.16</w:t>
      </w:r>
      <w:r>
        <w:rPr>
          <w:rFonts w:hint="eastAsia" w:ascii="仿宋_GB2312" w:hAnsi="仿宋_GB2312" w:eastAsia="仿宋_GB2312" w:cs="仿宋_GB2312"/>
          <w:kern w:val="0"/>
          <w:sz w:val="32"/>
          <w:szCs w:val="32"/>
        </w:rPr>
        <w:t>万元，与年初预算相比增加</w:t>
      </w:r>
      <w:r>
        <w:rPr>
          <w:rFonts w:hint="eastAsia" w:ascii="仿宋_GB2312" w:hAnsi="仿宋_GB2312" w:eastAsia="仿宋_GB2312" w:cs="仿宋_GB2312"/>
          <w:kern w:val="0"/>
          <w:sz w:val="32"/>
          <w:szCs w:val="32"/>
          <w:lang w:val="en-US" w:eastAsia="zh-CN"/>
        </w:rPr>
        <w:t>2.3</w:t>
      </w:r>
      <w:r>
        <w:rPr>
          <w:rFonts w:hint="eastAsia" w:ascii="仿宋_GB2312" w:hAnsi="仿宋_GB2312" w:eastAsia="仿宋_GB2312" w:cs="仿宋_GB2312"/>
          <w:kern w:val="0"/>
          <w:sz w:val="32"/>
          <w:szCs w:val="32"/>
        </w:rPr>
        <w:t>1万元。其中：</w:t>
      </w:r>
    </w:p>
    <w:p w14:paraId="2F3373BE">
      <w:pPr>
        <w:pageBreakBefore w:val="0"/>
        <w:widowControl/>
        <w:numPr>
          <w:ilvl w:val="0"/>
          <w:numId w:val="1"/>
        </w:numPr>
        <w:kinsoku/>
        <w:wordWrap/>
        <w:overflowPunct/>
        <w:topLinePunct w:val="0"/>
        <w:autoSpaceDE/>
        <w:autoSpaceDN/>
        <w:bidi w:val="0"/>
        <w:spacing w:line="580" w:lineRule="exact"/>
        <w:ind w:left="0" w:leftChars="0"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行政事业单位医疗（款）行政单位医疗（项）。年初预</w:t>
      </w:r>
      <w:r>
        <w:rPr>
          <w:rFonts w:hint="eastAsia" w:ascii="仿宋_GB2312" w:hAnsi="仿宋_GB2312" w:eastAsia="仿宋_GB2312" w:cs="仿宋_GB2312"/>
          <w:kern w:val="0"/>
          <w:sz w:val="32"/>
          <w:szCs w:val="32"/>
          <w:lang w:val="en-US" w:eastAsia="zh-CN"/>
        </w:rPr>
        <w:t>算56.85</w:t>
      </w:r>
      <w:r>
        <w:rPr>
          <w:rFonts w:hint="eastAsia" w:ascii="仿宋_GB2312" w:hAnsi="仿宋_GB2312" w:eastAsia="仿宋_GB2312" w:cs="仿宋_GB2312"/>
          <w:kern w:val="0"/>
          <w:sz w:val="32"/>
          <w:szCs w:val="32"/>
        </w:rPr>
        <w:t>万元，支出决算</w:t>
      </w:r>
      <w:r>
        <w:rPr>
          <w:rFonts w:hint="eastAsia" w:ascii="仿宋_GB2312" w:hAnsi="仿宋_GB2312" w:eastAsia="仿宋_GB2312" w:cs="仿宋_GB2312"/>
          <w:kern w:val="0"/>
          <w:sz w:val="32"/>
          <w:szCs w:val="32"/>
          <w:lang w:val="en-US" w:eastAsia="zh-CN"/>
        </w:rPr>
        <w:t>59.16</w:t>
      </w:r>
      <w:r>
        <w:rPr>
          <w:rFonts w:hint="eastAsia" w:ascii="仿宋_GB2312" w:hAnsi="仿宋_GB2312" w:eastAsia="仿宋_GB2312" w:cs="仿宋_GB2312"/>
          <w:kern w:val="0"/>
          <w:sz w:val="32"/>
          <w:szCs w:val="32"/>
        </w:rPr>
        <w:t>万元，完成年初预算的</w:t>
      </w:r>
      <w:r>
        <w:rPr>
          <w:rFonts w:hint="eastAsia" w:ascii="仿宋_GB2312" w:hAnsi="仿宋_GB2312" w:eastAsia="仿宋_GB2312" w:cs="仿宋_GB2312"/>
          <w:kern w:val="0"/>
          <w:sz w:val="32"/>
          <w:szCs w:val="32"/>
          <w:lang w:val="en-US" w:eastAsia="zh-CN"/>
        </w:rPr>
        <w:t>105.36</w:t>
      </w:r>
      <w:r>
        <w:rPr>
          <w:rFonts w:hint="eastAsia" w:ascii="仿宋_GB2312" w:hAnsi="仿宋_GB2312" w:eastAsia="仿宋_GB2312" w:cs="仿宋_GB2312"/>
          <w:kern w:val="0"/>
          <w:sz w:val="32"/>
          <w:szCs w:val="32"/>
        </w:rPr>
        <w:t>%。决算数与年初预算数的差异原因：</w:t>
      </w:r>
      <w:r>
        <w:rPr>
          <w:rFonts w:hint="eastAsia" w:ascii="仿宋_GB2312" w:hAnsi="仿宋_GB2312" w:eastAsia="仿宋_GB2312" w:cs="仿宋_GB2312"/>
          <w:kern w:val="0"/>
          <w:sz w:val="32"/>
          <w:szCs w:val="32"/>
          <w:lang w:eastAsia="zh-CN"/>
        </w:rPr>
        <w:t>由于</w:t>
      </w:r>
      <w:r>
        <w:rPr>
          <w:rFonts w:hint="eastAsia" w:ascii="仿宋_GB2312" w:hAnsi="仿宋_GB2312" w:eastAsia="仿宋_GB2312" w:cs="仿宋_GB2312"/>
          <w:kern w:val="0"/>
          <w:sz w:val="32"/>
          <w:szCs w:val="32"/>
          <w:lang w:val="en-US" w:eastAsia="zh-CN"/>
        </w:rPr>
        <w:t>2025年度医疗保险基数增加所以医疗保险缴费支出增加</w:t>
      </w:r>
      <w:r>
        <w:rPr>
          <w:rFonts w:hint="eastAsia" w:ascii="仿宋_GB2312" w:hAnsi="仿宋_GB2312" w:eastAsia="仿宋_GB2312" w:cs="仿宋_GB2312"/>
          <w:kern w:val="0"/>
          <w:sz w:val="32"/>
          <w:szCs w:val="32"/>
        </w:rPr>
        <w:t>。</w:t>
      </w:r>
    </w:p>
    <w:p w14:paraId="074372E9">
      <w:pPr>
        <w:pStyle w:val="21"/>
        <w:numPr>
          <w:numId w:val="0"/>
        </w:numPr>
        <w:ind w:leftChars="200"/>
        <w:rPr>
          <w:rFonts w:hint="eastAsia"/>
          <w:lang w:eastAsia="zh-CN"/>
        </w:rPr>
      </w:pPr>
    </w:p>
    <w:p w14:paraId="5C5AD1EC">
      <w:pPr>
        <w:pageBreakBefore w:val="0"/>
        <w:widowControl/>
        <w:numPr>
          <w:numId w:val="0"/>
        </w:numPr>
        <w:kinsoku/>
        <w:wordWrap/>
        <w:overflowPunct/>
        <w:topLinePunct w:val="0"/>
        <w:autoSpaceDE/>
        <w:autoSpaceDN/>
        <w:bidi w:val="0"/>
        <w:spacing w:line="580" w:lineRule="exact"/>
        <w:ind w:leftChars="200"/>
        <w:textAlignment w:val="auto"/>
        <w:rPr>
          <w:rFonts w:hint="eastAsia"/>
        </w:rPr>
      </w:pPr>
      <w:r>
        <w:rPr>
          <w:rFonts w:hint="eastAsia" w:ascii="楷体" w:hAnsi="楷体" w:eastAsia="楷体" w:cs="楷体"/>
          <w:b/>
          <w:bCs/>
          <w:kern w:val="0"/>
          <w:sz w:val="32"/>
          <w:szCs w:val="32"/>
          <w:lang w:eastAsia="zh-CN"/>
        </w:rPr>
        <w:t>（</w:t>
      </w:r>
      <w:r>
        <w:rPr>
          <w:rFonts w:hint="eastAsia" w:ascii="楷体" w:hAnsi="楷体" w:eastAsia="楷体" w:cs="楷体"/>
          <w:b/>
          <w:bCs/>
          <w:kern w:val="0"/>
          <w:sz w:val="32"/>
          <w:szCs w:val="32"/>
          <w:lang w:val="en-US" w:eastAsia="zh-CN"/>
        </w:rPr>
        <w:t>四）</w:t>
      </w:r>
      <w:r>
        <w:rPr>
          <w:rFonts w:hint="eastAsia" w:ascii="楷体" w:hAnsi="楷体" w:eastAsia="楷体" w:cs="楷体"/>
          <w:b/>
          <w:bCs/>
          <w:kern w:val="0"/>
          <w:sz w:val="32"/>
          <w:szCs w:val="32"/>
        </w:rPr>
        <w:t>住房保障支出（类）</w:t>
      </w:r>
    </w:p>
    <w:p w14:paraId="0FDA16C6">
      <w:pPr>
        <w:pStyle w:val="21"/>
        <w:rPr>
          <w:rFonts w:hint="eastAsia"/>
        </w:rPr>
      </w:pPr>
    </w:p>
    <w:p w14:paraId="130C9601">
      <w:pPr>
        <w:pageBreakBefore w:val="0"/>
        <w:widowControl/>
        <w:kinsoku/>
        <w:wordWrap/>
        <w:overflowPunct/>
        <w:topLinePunct w:val="0"/>
        <w:autoSpaceDE/>
        <w:autoSpaceDN/>
        <w:bidi w:val="0"/>
        <w:spacing w:line="580" w:lineRule="exact"/>
        <w:ind w:left="0" w:leftChars="0"/>
        <w:textAlignment w:val="auto"/>
        <w:rPr>
          <w:rFonts w:hint="eastAsia" w:ascii="仿宋_GB2312" w:hAnsi="仿宋_GB2312" w:eastAsia="仿宋_GB2312" w:cs="仿宋_GB2312"/>
          <w:kern w:val="0"/>
          <w:sz w:val="32"/>
          <w:szCs w:val="32"/>
          <w:lang w:val="en-US" w:eastAsia="zh-CN"/>
        </w:rPr>
      </w:pPr>
      <w:r>
        <w:rPr>
          <w:rFonts w:ascii="Calibri" w:hAnsi="Calibri" w:eastAsia="Calibri" w:cs="Calibri"/>
          <w:color w:val="000000"/>
          <w:kern w:val="0"/>
          <w:sz w:val="28"/>
          <w:szCs w:val="28"/>
        </w:rPr>
        <w:t> </w:t>
      </w:r>
      <w:r>
        <w:rPr>
          <w:rFonts w:ascii="仿宋_GB2312" w:hAnsi="仿宋_GB2312" w:eastAsia="仿宋_GB2312" w:cs="仿宋_GB2312"/>
          <w:color w:val="000000"/>
          <w:kern w:val="0"/>
          <w:sz w:val="28"/>
          <w:szCs w:val="28"/>
        </w:rPr>
        <w:t xml:space="preserve"> </w:t>
      </w:r>
      <w:r>
        <w:rPr>
          <w:rFonts w:ascii="Calibri" w:hAnsi="Calibri" w:eastAsia="Calibri" w:cs="Calibri"/>
          <w:color w:val="000000"/>
          <w:kern w:val="0"/>
          <w:sz w:val="28"/>
          <w:szCs w:val="28"/>
        </w:rPr>
        <w:t> </w:t>
      </w:r>
      <w:r>
        <w:rPr>
          <w:rFonts w:hint="eastAsia" w:ascii="Calibri" w:hAnsi="Calibri" w:cs="Calibri"/>
          <w:color w:val="000000"/>
          <w:kern w:val="0"/>
          <w:sz w:val="28"/>
          <w:szCs w:val="28"/>
          <w:lang w:val="en-US" w:eastAsia="zh-CN"/>
        </w:rPr>
        <w:t xml:space="preserve"> </w:t>
      </w:r>
      <w:r>
        <w:rPr>
          <w:rFonts w:hint="eastAsia" w:ascii="仿宋_GB2312" w:hAnsi="仿宋_GB2312" w:eastAsia="仿宋_GB2312" w:cs="仿宋_GB2312"/>
          <w:kern w:val="0"/>
          <w:sz w:val="32"/>
          <w:szCs w:val="32"/>
          <w:lang w:val="en-US" w:eastAsia="zh-CN"/>
        </w:rPr>
        <w:t xml:space="preserve"> 住房保障支出（类）决算数为 101.43万元，与年初预算相比增加5.51万元。其中：</w:t>
      </w:r>
    </w:p>
    <w:p w14:paraId="756B8BD9">
      <w:pPr>
        <w:pageBreakBefore w:val="0"/>
        <w:widowControl/>
        <w:kinsoku/>
        <w:wordWrap/>
        <w:overflowPunct/>
        <w:topLinePunct w:val="0"/>
        <w:autoSpaceDE/>
        <w:autoSpaceDN/>
        <w:bidi w:val="0"/>
        <w:spacing w:line="580" w:lineRule="exact"/>
        <w:ind w:left="0" w:leftChars="0" w:firstLine="640" w:firstLineChars="200"/>
        <w:textAlignment w:val="auto"/>
        <w:rPr>
          <w:rFonts w:hint="default"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1.住房改革支出（款）住房公积金（项）。年初预算95.92万元，支出决算101.43万元，完成年初预算的105.74%。决算数与年初预算数的差异原因：2025年度由于住房公积金的基数增加所以公积金支出增加。</w:t>
      </w:r>
    </w:p>
    <w:p w14:paraId="0D73D426">
      <w:pPr>
        <w:pageBreakBefore w:val="0"/>
        <w:widowControl/>
        <w:numPr>
          <w:ilvl w:val="0"/>
          <w:numId w:val="0"/>
        </w:numPr>
        <w:kinsoku/>
        <w:wordWrap/>
        <w:overflowPunct/>
        <w:topLinePunct w:val="0"/>
        <w:autoSpaceDE/>
        <w:autoSpaceDN/>
        <w:bidi w:val="0"/>
        <w:spacing w:line="580" w:lineRule="exact"/>
        <w:ind w:left="320" w:leftChars="0" w:firstLine="281" w:firstLineChars="100"/>
        <w:textAlignment w:val="auto"/>
        <w:rPr>
          <w:rFonts w:ascii="Times New Roman" w:hAnsi="Times New Roman" w:eastAsia="Times New Roman" w:cs="Times New Roman"/>
          <w:kern w:val="0"/>
          <w:sz w:val="28"/>
          <w:szCs w:val="28"/>
        </w:rPr>
      </w:pPr>
      <w:r>
        <w:rPr>
          <w:rFonts w:ascii="黑体" w:hAnsi="黑体" w:eastAsia="黑体" w:cs="黑体"/>
          <w:b/>
          <w:bCs/>
          <w:kern w:val="0"/>
          <w:sz w:val="28"/>
          <w:szCs w:val="28"/>
        </w:rPr>
        <w:t>六、一般公共预算财政拨款基本支出决算情况说明</w:t>
      </w:r>
    </w:p>
    <w:p w14:paraId="12DDE985">
      <w:pPr>
        <w:widowControl/>
        <w:spacing w:before="240" w:after="240"/>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年度一般公共预算财政拨款基本支出决算</w:t>
      </w:r>
      <w:r>
        <w:rPr>
          <w:rFonts w:hint="eastAsia" w:ascii="仿宋_GB2312" w:hAnsi="仿宋_GB2312" w:eastAsia="仿宋_GB2312" w:cs="仿宋_GB2312"/>
          <w:kern w:val="0"/>
          <w:sz w:val="32"/>
          <w:szCs w:val="32"/>
          <w:lang w:val="en-US" w:eastAsia="zh-CN"/>
        </w:rPr>
        <w:t>1386.35</w:t>
      </w:r>
      <w:r>
        <w:rPr>
          <w:rFonts w:hint="eastAsia" w:ascii="仿宋_GB2312" w:hAnsi="仿宋_GB2312" w:eastAsia="仿宋_GB2312" w:cs="仿宋_GB2312"/>
          <w:kern w:val="0"/>
          <w:sz w:val="32"/>
          <w:szCs w:val="32"/>
        </w:rPr>
        <w:t>万元，其中：</w:t>
      </w:r>
    </w:p>
    <w:p w14:paraId="60DB6188">
      <w:pPr>
        <w:widowControl/>
        <w:numPr>
          <w:ilvl w:val="0"/>
          <w:numId w:val="2"/>
        </w:numPr>
        <w:spacing w:before="240" w:after="240"/>
        <w:ind w:firstLine="643" w:firstLineChars="200"/>
        <w:rPr>
          <w:rFonts w:hint="eastAsia" w:ascii="仿宋_GB2312" w:hAnsi="仿宋_GB2312" w:eastAsia="仿宋_GB2312" w:cs="仿宋_GB2312"/>
          <w:kern w:val="0"/>
          <w:sz w:val="32"/>
          <w:szCs w:val="32"/>
        </w:rPr>
      </w:pPr>
      <w:r>
        <w:rPr>
          <w:rFonts w:hint="eastAsia" w:ascii="楷体" w:hAnsi="楷体" w:eastAsia="楷体" w:cs="楷体"/>
          <w:b/>
          <w:bCs/>
          <w:kern w:val="0"/>
          <w:sz w:val="32"/>
          <w:szCs w:val="32"/>
        </w:rPr>
        <w:t>人员经费</w:t>
      </w:r>
      <w:r>
        <w:rPr>
          <w:rFonts w:hint="eastAsia" w:ascii="楷体" w:hAnsi="楷体" w:eastAsia="楷体" w:cs="楷体"/>
          <w:b/>
          <w:bCs/>
          <w:kern w:val="0"/>
          <w:sz w:val="32"/>
          <w:szCs w:val="32"/>
          <w:lang w:val="en-US" w:eastAsia="zh-CN"/>
        </w:rPr>
        <w:t>1246.60</w:t>
      </w:r>
      <w:r>
        <w:rPr>
          <w:rFonts w:hint="eastAsia" w:ascii="楷体" w:hAnsi="楷体" w:eastAsia="楷体" w:cs="楷体"/>
          <w:b/>
          <w:bCs/>
          <w:kern w:val="0"/>
          <w:sz w:val="32"/>
          <w:szCs w:val="32"/>
        </w:rPr>
        <w:t>万元。</w:t>
      </w:r>
      <w:r>
        <w:rPr>
          <w:rFonts w:hint="eastAsia" w:ascii="仿宋_GB2312" w:hAnsi="仿宋_GB2312" w:eastAsia="仿宋_GB2312" w:cs="仿宋_GB2312"/>
          <w:kern w:val="0"/>
          <w:sz w:val="32"/>
          <w:szCs w:val="32"/>
        </w:rPr>
        <w:t>主要包括：基本工资</w:t>
      </w:r>
      <w:r>
        <w:rPr>
          <w:rFonts w:hint="eastAsia" w:ascii="仿宋_GB2312" w:hAnsi="仿宋_GB2312" w:eastAsia="仿宋_GB2312" w:cs="仿宋_GB2312"/>
          <w:kern w:val="0"/>
          <w:sz w:val="32"/>
          <w:szCs w:val="32"/>
          <w:lang w:val="en-US" w:eastAsia="zh-CN"/>
        </w:rPr>
        <w:t>351.96万元</w:t>
      </w:r>
      <w:r>
        <w:rPr>
          <w:rFonts w:hint="eastAsia" w:ascii="仿宋_GB2312" w:hAnsi="仿宋_GB2312" w:eastAsia="仿宋_GB2312" w:cs="仿宋_GB2312"/>
          <w:kern w:val="0"/>
          <w:sz w:val="32"/>
          <w:szCs w:val="32"/>
        </w:rPr>
        <w:t>、津贴补贴</w:t>
      </w:r>
      <w:r>
        <w:rPr>
          <w:rFonts w:hint="eastAsia" w:ascii="仿宋_GB2312" w:hAnsi="仿宋_GB2312" w:eastAsia="仿宋_GB2312" w:cs="仿宋_GB2312"/>
          <w:kern w:val="0"/>
          <w:sz w:val="32"/>
          <w:szCs w:val="32"/>
          <w:lang w:val="en-US" w:eastAsia="zh-CN"/>
        </w:rPr>
        <w:t>430.09万元</w:t>
      </w:r>
      <w:r>
        <w:rPr>
          <w:rFonts w:hint="eastAsia" w:ascii="仿宋_GB2312" w:hAnsi="仿宋_GB2312" w:eastAsia="仿宋_GB2312" w:cs="仿宋_GB2312"/>
          <w:kern w:val="0"/>
          <w:sz w:val="32"/>
          <w:szCs w:val="32"/>
        </w:rPr>
        <w:t>、奖金</w:t>
      </w:r>
      <w:r>
        <w:rPr>
          <w:rFonts w:hint="eastAsia" w:ascii="仿宋_GB2312" w:hAnsi="仿宋_GB2312" w:eastAsia="仿宋_GB2312" w:cs="仿宋_GB2312"/>
          <w:kern w:val="0"/>
          <w:sz w:val="32"/>
          <w:szCs w:val="32"/>
          <w:lang w:val="en-US" w:eastAsia="zh-CN"/>
        </w:rPr>
        <w:t>90.76万元</w:t>
      </w:r>
      <w:r>
        <w:rPr>
          <w:rFonts w:hint="eastAsia" w:ascii="仿宋_GB2312" w:hAnsi="仿宋_GB2312" w:eastAsia="仿宋_GB2312" w:cs="仿宋_GB2312"/>
          <w:kern w:val="0"/>
          <w:sz w:val="32"/>
          <w:szCs w:val="32"/>
        </w:rPr>
        <w:t>、机关事业单位基本养老保险缴费</w:t>
      </w:r>
      <w:r>
        <w:rPr>
          <w:rFonts w:hint="eastAsia" w:ascii="仿宋_GB2312" w:hAnsi="仿宋_GB2312" w:eastAsia="仿宋_GB2312" w:cs="仿宋_GB2312"/>
          <w:kern w:val="0"/>
          <w:sz w:val="32"/>
          <w:szCs w:val="32"/>
          <w:lang w:val="en-US" w:eastAsia="zh-CN"/>
        </w:rPr>
        <w:t>99.3万元</w:t>
      </w:r>
      <w:r>
        <w:rPr>
          <w:rFonts w:hint="eastAsia" w:ascii="仿宋_GB2312" w:hAnsi="仿宋_GB2312" w:eastAsia="仿宋_GB2312" w:cs="仿宋_GB2312"/>
          <w:kern w:val="0"/>
          <w:sz w:val="32"/>
          <w:szCs w:val="32"/>
        </w:rPr>
        <w:t>、职工基本医疗保险缴费</w:t>
      </w:r>
      <w:r>
        <w:rPr>
          <w:rFonts w:hint="eastAsia" w:ascii="仿宋_GB2312" w:hAnsi="仿宋_GB2312" w:eastAsia="仿宋_GB2312" w:cs="仿宋_GB2312"/>
          <w:kern w:val="0"/>
          <w:sz w:val="32"/>
          <w:szCs w:val="32"/>
          <w:lang w:val="en-US" w:eastAsia="zh-CN"/>
        </w:rPr>
        <w:t>59.16万元、</w:t>
      </w:r>
      <w:r>
        <w:rPr>
          <w:rFonts w:hint="eastAsia" w:ascii="仿宋_GB2312" w:hAnsi="仿宋_GB2312" w:eastAsia="仿宋_GB2312" w:cs="仿宋_GB2312"/>
          <w:kern w:val="0"/>
          <w:sz w:val="32"/>
          <w:szCs w:val="32"/>
        </w:rPr>
        <w:t>其他社会保障缴费1.</w:t>
      </w:r>
      <w:r>
        <w:rPr>
          <w:rFonts w:hint="eastAsia" w:ascii="仿宋_GB2312" w:hAnsi="仿宋_GB2312" w:eastAsia="仿宋_GB2312" w:cs="仿宋_GB2312"/>
          <w:kern w:val="0"/>
          <w:sz w:val="32"/>
          <w:szCs w:val="32"/>
          <w:lang w:val="en-US" w:eastAsia="zh-CN"/>
        </w:rPr>
        <w:t>55万元、</w:t>
      </w:r>
      <w:r>
        <w:rPr>
          <w:rFonts w:hint="eastAsia" w:ascii="仿宋_GB2312" w:hAnsi="仿宋_GB2312" w:eastAsia="仿宋_GB2312" w:cs="仿宋_GB2312"/>
          <w:kern w:val="0"/>
          <w:sz w:val="32"/>
          <w:szCs w:val="32"/>
        </w:rPr>
        <w:t xml:space="preserve"> 住房公积金</w:t>
      </w:r>
      <w:r>
        <w:rPr>
          <w:rFonts w:hint="eastAsia" w:ascii="仿宋_GB2312" w:hAnsi="仿宋_GB2312" w:eastAsia="仿宋_GB2312" w:cs="仿宋_GB2312"/>
          <w:kern w:val="0"/>
          <w:sz w:val="32"/>
          <w:szCs w:val="32"/>
          <w:lang w:val="en-US" w:eastAsia="zh-CN"/>
        </w:rPr>
        <w:t>101.43万元</w:t>
      </w:r>
      <w:r>
        <w:rPr>
          <w:rFonts w:hint="eastAsia" w:ascii="仿宋_GB2312" w:hAnsi="仿宋_GB2312" w:eastAsia="仿宋_GB2312" w:cs="仿宋_GB2312"/>
          <w:kern w:val="0"/>
          <w:sz w:val="32"/>
          <w:szCs w:val="32"/>
        </w:rPr>
        <w:t>、其他工资福利支出</w:t>
      </w:r>
      <w:r>
        <w:rPr>
          <w:rFonts w:hint="eastAsia" w:ascii="仿宋_GB2312" w:hAnsi="仿宋_GB2312" w:eastAsia="仿宋_GB2312" w:cs="仿宋_GB2312"/>
          <w:kern w:val="0"/>
          <w:sz w:val="32"/>
          <w:szCs w:val="32"/>
          <w:lang w:val="en-US" w:eastAsia="zh-CN"/>
        </w:rPr>
        <w:t>52.1万元</w:t>
      </w:r>
      <w:r>
        <w:rPr>
          <w:rFonts w:hint="eastAsia" w:ascii="仿宋_GB2312" w:hAnsi="仿宋_GB2312" w:eastAsia="仿宋_GB2312" w:cs="仿宋_GB2312"/>
          <w:kern w:val="0"/>
          <w:sz w:val="32"/>
          <w:szCs w:val="32"/>
        </w:rPr>
        <w:t>、退休费</w:t>
      </w:r>
      <w:r>
        <w:rPr>
          <w:rFonts w:hint="eastAsia" w:ascii="仿宋_GB2312" w:hAnsi="仿宋_GB2312" w:eastAsia="仿宋_GB2312" w:cs="仿宋_GB2312"/>
          <w:kern w:val="0"/>
          <w:sz w:val="32"/>
          <w:szCs w:val="32"/>
          <w:lang w:val="en-US" w:eastAsia="zh-CN"/>
        </w:rPr>
        <w:t>49.99万元</w:t>
      </w:r>
      <w:r>
        <w:rPr>
          <w:rFonts w:hint="eastAsia" w:ascii="仿宋_GB2312" w:hAnsi="仿宋_GB2312" w:eastAsia="仿宋_GB2312" w:cs="仿宋_GB2312"/>
          <w:kern w:val="0"/>
          <w:sz w:val="32"/>
          <w:szCs w:val="32"/>
        </w:rPr>
        <w:t>、生活补助</w:t>
      </w:r>
      <w:r>
        <w:rPr>
          <w:rFonts w:hint="eastAsia" w:ascii="仿宋_GB2312" w:hAnsi="仿宋_GB2312" w:eastAsia="仿宋_GB2312" w:cs="仿宋_GB2312"/>
          <w:kern w:val="0"/>
          <w:sz w:val="32"/>
          <w:szCs w:val="32"/>
          <w:lang w:val="en-US" w:eastAsia="zh-CN"/>
        </w:rPr>
        <w:t>8.3万元、奖励金1.95万元</w:t>
      </w:r>
      <w:r>
        <w:rPr>
          <w:rFonts w:hint="eastAsia" w:ascii="仿宋_GB2312" w:hAnsi="仿宋_GB2312" w:eastAsia="仿宋_GB2312" w:cs="仿宋_GB2312"/>
          <w:kern w:val="0"/>
          <w:sz w:val="32"/>
          <w:szCs w:val="32"/>
        </w:rPr>
        <w:t>。</w:t>
      </w:r>
    </w:p>
    <w:p w14:paraId="44AB093C">
      <w:pPr>
        <w:widowControl/>
        <w:numPr>
          <w:ilvl w:val="0"/>
          <w:numId w:val="0"/>
        </w:numPr>
        <w:spacing w:before="240" w:after="240"/>
        <w:ind w:firstLine="643" w:firstLineChars="200"/>
        <w:rPr>
          <w:rFonts w:hint="default" w:ascii="仿宋_GB2312" w:hAnsi="仿宋_GB2312" w:eastAsia="仿宋_GB2312" w:cs="仿宋_GB2312"/>
          <w:kern w:val="0"/>
          <w:sz w:val="32"/>
          <w:szCs w:val="32"/>
          <w:lang w:val="en-US"/>
        </w:rPr>
      </w:pPr>
      <w:r>
        <w:rPr>
          <w:rFonts w:hint="eastAsia" w:ascii="楷体" w:hAnsi="楷体" w:eastAsia="楷体" w:cs="楷体"/>
          <w:b/>
          <w:bCs/>
          <w:kern w:val="0"/>
          <w:sz w:val="32"/>
          <w:szCs w:val="32"/>
        </w:rPr>
        <w:t>（二）公用经费 </w:t>
      </w:r>
      <w:r>
        <w:rPr>
          <w:rFonts w:hint="eastAsia" w:ascii="楷体" w:hAnsi="楷体" w:eastAsia="楷体" w:cs="楷体"/>
          <w:b/>
          <w:bCs/>
          <w:kern w:val="0"/>
          <w:sz w:val="32"/>
          <w:szCs w:val="32"/>
          <w:lang w:val="en-US" w:eastAsia="zh-CN"/>
        </w:rPr>
        <w:t>139.75</w:t>
      </w:r>
      <w:r>
        <w:rPr>
          <w:rFonts w:hint="eastAsia" w:ascii="楷体" w:hAnsi="楷体" w:eastAsia="楷体" w:cs="楷体"/>
          <w:b/>
          <w:bCs/>
          <w:kern w:val="0"/>
          <w:sz w:val="32"/>
          <w:szCs w:val="32"/>
        </w:rPr>
        <w:t>万元。</w:t>
      </w:r>
      <w:r>
        <w:rPr>
          <w:rFonts w:hint="eastAsia" w:ascii="仿宋_GB2312" w:hAnsi="仿宋_GB2312" w:eastAsia="仿宋_GB2312" w:cs="仿宋_GB2312"/>
          <w:kern w:val="0"/>
          <w:sz w:val="32"/>
          <w:szCs w:val="32"/>
        </w:rPr>
        <w:t>主要包括：办公费</w:t>
      </w:r>
      <w:r>
        <w:rPr>
          <w:rFonts w:hint="eastAsia" w:ascii="仿宋_GB2312" w:hAnsi="仿宋_GB2312" w:eastAsia="仿宋_GB2312" w:cs="仿宋_GB2312"/>
          <w:kern w:val="0"/>
          <w:sz w:val="32"/>
          <w:szCs w:val="32"/>
          <w:lang w:val="en-US" w:eastAsia="zh-CN"/>
        </w:rPr>
        <w:t>17.44万元、印刷费0.10万元</w:t>
      </w:r>
      <w:r>
        <w:rPr>
          <w:rFonts w:hint="eastAsia" w:ascii="仿宋_GB2312" w:hAnsi="仿宋_GB2312" w:eastAsia="仿宋_GB2312" w:cs="仿宋_GB2312"/>
          <w:kern w:val="0"/>
          <w:sz w:val="32"/>
          <w:szCs w:val="32"/>
        </w:rPr>
        <w:t>、电费</w:t>
      </w:r>
      <w:r>
        <w:rPr>
          <w:rFonts w:hint="eastAsia" w:ascii="仿宋_GB2312" w:hAnsi="仿宋_GB2312" w:eastAsia="仿宋_GB2312" w:cs="仿宋_GB2312"/>
          <w:kern w:val="0"/>
          <w:sz w:val="32"/>
          <w:szCs w:val="32"/>
          <w:lang w:val="en-US" w:eastAsia="zh-CN"/>
        </w:rPr>
        <w:t>3.81万元</w:t>
      </w:r>
      <w:r>
        <w:rPr>
          <w:rFonts w:hint="eastAsia" w:ascii="仿宋_GB2312" w:hAnsi="仿宋_GB2312" w:eastAsia="仿宋_GB2312" w:cs="仿宋_GB2312"/>
          <w:kern w:val="0"/>
          <w:sz w:val="32"/>
          <w:szCs w:val="32"/>
        </w:rPr>
        <w:t>、邮电费</w:t>
      </w:r>
      <w:r>
        <w:rPr>
          <w:rFonts w:hint="eastAsia" w:ascii="仿宋_GB2312" w:hAnsi="仿宋_GB2312" w:eastAsia="仿宋_GB2312" w:cs="仿宋_GB2312"/>
          <w:kern w:val="0"/>
          <w:sz w:val="32"/>
          <w:szCs w:val="32"/>
          <w:lang w:val="en-US" w:eastAsia="zh-CN"/>
        </w:rPr>
        <w:t>1.61万元</w:t>
      </w:r>
      <w:r>
        <w:rPr>
          <w:rFonts w:hint="eastAsia" w:ascii="仿宋_GB2312" w:hAnsi="仿宋_GB2312" w:eastAsia="仿宋_GB2312" w:cs="仿宋_GB2312"/>
          <w:kern w:val="0"/>
          <w:sz w:val="32"/>
          <w:szCs w:val="32"/>
        </w:rPr>
        <w:t>、取暖费</w:t>
      </w:r>
      <w:r>
        <w:rPr>
          <w:rFonts w:hint="eastAsia" w:ascii="仿宋_GB2312" w:hAnsi="仿宋_GB2312" w:eastAsia="仿宋_GB2312" w:cs="仿宋_GB2312"/>
          <w:kern w:val="0"/>
          <w:sz w:val="32"/>
          <w:szCs w:val="32"/>
          <w:lang w:val="en-US" w:eastAsia="zh-CN"/>
        </w:rPr>
        <w:t>28.58万元</w:t>
      </w:r>
      <w:r>
        <w:rPr>
          <w:rFonts w:hint="eastAsia" w:ascii="仿宋_GB2312" w:hAnsi="仿宋_GB2312" w:eastAsia="仿宋_GB2312" w:cs="仿宋_GB2312"/>
          <w:kern w:val="0"/>
          <w:sz w:val="32"/>
          <w:szCs w:val="32"/>
        </w:rPr>
        <w:t>、差旅费</w:t>
      </w:r>
      <w:r>
        <w:rPr>
          <w:rFonts w:hint="eastAsia" w:ascii="仿宋_GB2312" w:hAnsi="仿宋_GB2312" w:eastAsia="仿宋_GB2312" w:cs="仿宋_GB2312"/>
          <w:kern w:val="0"/>
          <w:sz w:val="32"/>
          <w:szCs w:val="32"/>
          <w:lang w:val="en-US" w:eastAsia="zh-CN"/>
        </w:rPr>
        <w:t>5.62万元</w:t>
      </w:r>
      <w:r>
        <w:rPr>
          <w:rFonts w:hint="eastAsia" w:ascii="仿宋_GB2312" w:hAnsi="仿宋_GB2312" w:eastAsia="仿宋_GB2312" w:cs="仿宋_GB2312"/>
          <w:kern w:val="0"/>
          <w:sz w:val="32"/>
          <w:szCs w:val="32"/>
        </w:rPr>
        <w:t>、维修（护）费</w:t>
      </w:r>
      <w:r>
        <w:rPr>
          <w:rFonts w:hint="eastAsia" w:ascii="仿宋_GB2312" w:hAnsi="仿宋_GB2312" w:eastAsia="仿宋_GB2312" w:cs="仿宋_GB2312"/>
          <w:kern w:val="0"/>
          <w:sz w:val="32"/>
          <w:szCs w:val="32"/>
          <w:lang w:val="en-US" w:eastAsia="zh-CN"/>
        </w:rPr>
        <w:t xml:space="preserve">7.38万元 </w:t>
      </w:r>
      <w:r>
        <w:rPr>
          <w:rFonts w:hint="eastAsia" w:ascii="仿宋_GB2312" w:hAnsi="仿宋_GB2312" w:eastAsia="仿宋_GB2312" w:cs="仿宋_GB2312"/>
          <w:kern w:val="0"/>
          <w:sz w:val="32"/>
          <w:szCs w:val="32"/>
        </w:rPr>
        <w:t>、培训费</w:t>
      </w:r>
      <w:r>
        <w:rPr>
          <w:rFonts w:hint="eastAsia" w:ascii="仿宋_GB2312" w:hAnsi="仿宋_GB2312" w:eastAsia="仿宋_GB2312" w:cs="仿宋_GB2312"/>
          <w:kern w:val="0"/>
          <w:sz w:val="32"/>
          <w:szCs w:val="32"/>
          <w:lang w:val="en-US" w:eastAsia="zh-CN"/>
        </w:rPr>
        <w:t>6.48万元</w:t>
      </w:r>
      <w:r>
        <w:rPr>
          <w:rFonts w:hint="eastAsia" w:ascii="仿宋_GB2312" w:hAnsi="仿宋_GB2312" w:eastAsia="仿宋_GB2312" w:cs="仿宋_GB2312"/>
          <w:kern w:val="0"/>
          <w:sz w:val="32"/>
          <w:szCs w:val="32"/>
        </w:rPr>
        <w:t>、福利费</w:t>
      </w:r>
      <w:r>
        <w:rPr>
          <w:rFonts w:hint="eastAsia" w:ascii="仿宋_GB2312" w:hAnsi="仿宋_GB2312" w:eastAsia="仿宋_GB2312" w:cs="仿宋_GB2312"/>
          <w:kern w:val="0"/>
          <w:sz w:val="32"/>
          <w:szCs w:val="32"/>
          <w:lang w:val="en-US" w:eastAsia="zh-CN"/>
        </w:rPr>
        <w:t>13.26万元</w:t>
      </w:r>
      <w:r>
        <w:rPr>
          <w:rFonts w:hint="eastAsia" w:ascii="仿宋_GB2312" w:hAnsi="仿宋_GB2312" w:eastAsia="仿宋_GB2312" w:cs="仿宋_GB2312"/>
          <w:kern w:val="0"/>
          <w:sz w:val="32"/>
          <w:szCs w:val="32"/>
        </w:rPr>
        <w:t>、公务用车运行维护费</w:t>
      </w:r>
      <w:r>
        <w:rPr>
          <w:rFonts w:hint="eastAsia" w:ascii="仿宋_GB2312" w:hAnsi="仿宋_GB2312" w:eastAsia="仿宋_GB2312" w:cs="仿宋_GB2312"/>
          <w:kern w:val="0"/>
          <w:sz w:val="32"/>
          <w:szCs w:val="32"/>
          <w:lang w:val="en-US" w:eastAsia="zh-CN"/>
        </w:rPr>
        <w:t>2.53万元</w:t>
      </w:r>
      <w:r>
        <w:rPr>
          <w:rFonts w:hint="eastAsia" w:ascii="仿宋_GB2312" w:hAnsi="仿宋_GB2312" w:eastAsia="仿宋_GB2312" w:cs="仿宋_GB2312"/>
          <w:kern w:val="0"/>
          <w:sz w:val="32"/>
          <w:szCs w:val="32"/>
        </w:rPr>
        <w:t>、其他交通费用</w:t>
      </w:r>
      <w:r>
        <w:rPr>
          <w:rFonts w:hint="eastAsia" w:ascii="仿宋_GB2312" w:hAnsi="仿宋_GB2312" w:eastAsia="仿宋_GB2312" w:cs="仿宋_GB2312"/>
          <w:kern w:val="0"/>
          <w:sz w:val="32"/>
          <w:szCs w:val="32"/>
          <w:lang w:val="en-US" w:eastAsia="zh-CN"/>
        </w:rPr>
        <w:t>51.51万元</w:t>
      </w:r>
      <w:r>
        <w:rPr>
          <w:rFonts w:hint="eastAsia" w:ascii="仿宋_GB2312" w:hAnsi="仿宋_GB2312" w:eastAsia="仿宋_GB2312" w:cs="仿宋_GB2312"/>
          <w:kern w:val="0"/>
          <w:sz w:val="32"/>
          <w:szCs w:val="32"/>
        </w:rPr>
        <w:t>、其他商品和服务支出</w:t>
      </w:r>
      <w:r>
        <w:rPr>
          <w:rFonts w:hint="eastAsia" w:ascii="仿宋_GB2312" w:hAnsi="仿宋_GB2312" w:eastAsia="仿宋_GB2312" w:cs="仿宋_GB2312"/>
          <w:kern w:val="0"/>
          <w:sz w:val="32"/>
          <w:szCs w:val="32"/>
          <w:lang w:val="en-US" w:eastAsia="zh-CN"/>
        </w:rPr>
        <w:t>1.08万元、专用设备购置0.36万元。</w:t>
      </w:r>
    </w:p>
    <w:p w14:paraId="734504AD">
      <w:pPr>
        <w:pageBreakBefore w:val="0"/>
        <w:widowControl/>
        <w:kinsoku/>
        <w:wordWrap/>
        <w:overflowPunct/>
        <w:topLinePunct w:val="0"/>
        <w:autoSpaceDE/>
        <w:autoSpaceDN/>
        <w:bidi w:val="0"/>
        <w:spacing w:line="580" w:lineRule="exact"/>
        <w:ind w:left="0" w:leftChars="0"/>
        <w:jc w:val="left"/>
        <w:textAlignment w:val="auto"/>
        <w:rPr>
          <w:rFonts w:hint="eastAsia" w:ascii="黑体" w:hAnsi="黑体" w:eastAsia="黑体" w:cs="黑体"/>
          <w:b/>
          <w:bCs/>
          <w:kern w:val="0"/>
          <w:sz w:val="32"/>
          <w:szCs w:val="32"/>
        </w:rPr>
      </w:pPr>
      <w:r>
        <w:rPr>
          <w:rFonts w:hint="eastAsia" w:ascii="仿宋_GB2312" w:hAnsi="仿宋_GB2312" w:eastAsia="仿宋_GB2312" w:cs="仿宋_GB2312"/>
          <w:b/>
          <w:bCs/>
          <w:kern w:val="0"/>
          <w:sz w:val="32"/>
          <w:szCs w:val="32"/>
        </w:rPr>
        <w:t xml:space="preserve">    </w:t>
      </w:r>
      <w:r>
        <w:rPr>
          <w:rFonts w:hint="eastAsia" w:ascii="仿宋_GB2312" w:hAnsi="仿宋_GB2312" w:eastAsia="仿宋_GB2312" w:cs="仿宋_GB2312"/>
          <w:b/>
          <w:bCs/>
          <w:kern w:val="0"/>
          <w:sz w:val="32"/>
          <w:szCs w:val="32"/>
          <w:lang w:val="en-US" w:eastAsia="zh-CN"/>
        </w:rPr>
        <w:t xml:space="preserve"> </w:t>
      </w:r>
      <w:r>
        <w:rPr>
          <w:rFonts w:hint="eastAsia" w:ascii="黑体" w:hAnsi="黑体" w:eastAsia="黑体" w:cs="黑体"/>
          <w:b/>
          <w:bCs/>
          <w:kern w:val="0"/>
          <w:sz w:val="32"/>
          <w:szCs w:val="32"/>
        </w:rPr>
        <w:t>七、一般公共预算财政拨款项目支出决算情况说明</w:t>
      </w:r>
    </w:p>
    <w:p w14:paraId="58AABF2D">
      <w:pPr>
        <w:widowControl/>
        <w:spacing w:before="240" w:after="240"/>
        <w:rPr>
          <w:rFonts w:hint="eastAsia" w:ascii="仿宋_GB2312" w:hAnsi="仿宋_GB2312" w:eastAsia="仿宋_GB2312" w:cs="仿宋_GB2312"/>
          <w:kern w:val="0"/>
          <w:sz w:val="32"/>
          <w:szCs w:val="32"/>
        </w:rPr>
      </w:pPr>
      <w:r>
        <w:rPr>
          <w:rFonts w:ascii="Calibri" w:hAnsi="Calibri" w:eastAsia="Calibri" w:cs="Calibri"/>
          <w:color w:val="0E00FE"/>
          <w:kern w:val="0"/>
          <w:sz w:val="28"/>
          <w:szCs w:val="28"/>
        </w:rPr>
        <w:t> </w:t>
      </w:r>
      <w:r>
        <w:rPr>
          <w:rFonts w:hint="eastAsia" w:ascii="Calibri" w:hAnsi="Calibri" w:eastAsia="宋体" w:cs="Calibri"/>
          <w:color w:val="0E00FE"/>
          <w:kern w:val="0"/>
          <w:sz w:val="28"/>
          <w:szCs w:val="28"/>
          <w:lang w:val="en-US" w:eastAsia="zh-CN"/>
        </w:rPr>
        <w:t xml:space="preserve">    </w:t>
      </w: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年度一般公共预算财政拨款项目支出决算</w:t>
      </w:r>
      <w:r>
        <w:rPr>
          <w:rFonts w:hint="eastAsia" w:ascii="仿宋_GB2312" w:hAnsi="仿宋_GB2312" w:eastAsia="仿宋_GB2312" w:cs="仿宋_GB2312"/>
          <w:kern w:val="0"/>
          <w:sz w:val="32"/>
          <w:szCs w:val="32"/>
          <w:lang w:val="en-US" w:eastAsia="zh-CN"/>
        </w:rPr>
        <w:t>34.63</w:t>
      </w:r>
      <w:r>
        <w:rPr>
          <w:rFonts w:hint="eastAsia" w:ascii="仿宋_GB2312" w:hAnsi="仿宋_GB2312" w:eastAsia="仿宋_GB2312" w:cs="仿宋_GB2312"/>
          <w:kern w:val="0"/>
          <w:sz w:val="32"/>
          <w:szCs w:val="32"/>
        </w:rPr>
        <w:t>万元，其中：</w:t>
      </w:r>
    </w:p>
    <w:p w14:paraId="7F55D7B8">
      <w:pPr>
        <w:pageBreakBefore w:val="0"/>
        <w:widowControl/>
        <w:numPr>
          <w:ilvl w:val="0"/>
          <w:numId w:val="0"/>
        </w:numPr>
        <w:kinsoku/>
        <w:wordWrap/>
        <w:overflowPunct/>
        <w:topLinePunct w:val="0"/>
        <w:autoSpaceDE/>
        <w:autoSpaceDN/>
        <w:bidi w:val="0"/>
        <w:spacing w:line="580" w:lineRule="exact"/>
        <w:ind w:left="0" w:leftChars="0" w:firstLine="643" w:firstLineChars="200"/>
        <w:textAlignment w:val="auto"/>
        <w:rPr>
          <w:rFonts w:hint="eastAsia" w:ascii="楷体" w:hAnsi="楷体" w:eastAsia="楷体" w:cs="楷体"/>
          <w:b/>
          <w:bCs/>
          <w:kern w:val="0"/>
          <w:sz w:val="32"/>
          <w:szCs w:val="32"/>
          <w:u w:val="none"/>
        </w:rPr>
      </w:pPr>
      <w:r>
        <w:rPr>
          <w:rFonts w:hint="eastAsia" w:ascii="楷体" w:hAnsi="楷体" w:eastAsia="楷体" w:cs="楷体"/>
          <w:b/>
          <w:bCs/>
          <w:kern w:val="0"/>
          <w:sz w:val="32"/>
          <w:szCs w:val="32"/>
          <w:u w:val="none"/>
          <w:lang w:eastAsia="zh-CN"/>
        </w:rPr>
        <w:t>（</w:t>
      </w:r>
      <w:r>
        <w:rPr>
          <w:rFonts w:hint="eastAsia" w:ascii="楷体" w:hAnsi="楷体" w:eastAsia="楷体" w:cs="楷体"/>
          <w:b/>
          <w:bCs/>
          <w:kern w:val="0"/>
          <w:sz w:val="32"/>
          <w:szCs w:val="32"/>
          <w:u w:val="none"/>
          <w:lang w:val="en-US" w:eastAsia="zh-CN"/>
        </w:rPr>
        <w:t>一）</w:t>
      </w:r>
      <w:r>
        <w:rPr>
          <w:rFonts w:hint="eastAsia" w:ascii="楷体" w:hAnsi="楷体" w:eastAsia="楷体" w:cs="楷体"/>
          <w:b/>
          <w:bCs/>
          <w:kern w:val="0"/>
          <w:sz w:val="32"/>
          <w:szCs w:val="32"/>
          <w:u w:val="none"/>
        </w:rPr>
        <w:t>工资福利支出 0万元。</w:t>
      </w:r>
    </w:p>
    <w:p w14:paraId="1231E082">
      <w:pPr>
        <w:widowControl/>
        <w:numPr>
          <w:ilvl w:val="0"/>
          <w:numId w:val="0"/>
        </w:numPr>
        <w:spacing w:before="240" w:after="240"/>
        <w:ind w:firstLine="643" w:firstLineChars="200"/>
        <w:rPr>
          <w:rFonts w:hint="eastAsia" w:ascii="仿宋" w:hAnsi="仿宋" w:eastAsia="仿宋" w:cs="仿宋"/>
          <w:kern w:val="0"/>
          <w:sz w:val="28"/>
          <w:szCs w:val="28"/>
          <w:u w:val="none" w:color="auto"/>
        </w:rPr>
      </w:pPr>
      <w:r>
        <w:rPr>
          <w:rFonts w:hint="eastAsia" w:ascii="楷体" w:hAnsi="楷体" w:eastAsia="楷体" w:cs="楷体"/>
          <w:b/>
          <w:bCs/>
          <w:kern w:val="0"/>
          <w:sz w:val="32"/>
          <w:szCs w:val="32"/>
          <w:lang w:val="en-US" w:eastAsia="zh-CN" w:bidi="ar-SA"/>
        </w:rPr>
        <w:t>（二）商品和服务支出34.63万元。</w:t>
      </w:r>
      <w:r>
        <w:rPr>
          <w:rFonts w:hint="eastAsia" w:ascii="仿宋_GB2312" w:hAnsi="仿宋_GB2312" w:eastAsia="仿宋_GB2312" w:cs="仿宋_GB2312"/>
          <w:kern w:val="0"/>
          <w:sz w:val="32"/>
          <w:szCs w:val="32"/>
        </w:rPr>
        <w:t>主要包括：差旅费</w:t>
      </w:r>
      <w:r>
        <w:rPr>
          <w:rFonts w:hint="eastAsia" w:ascii="仿宋_GB2312" w:hAnsi="仿宋_GB2312" w:eastAsia="仿宋_GB2312" w:cs="仿宋_GB2312"/>
          <w:kern w:val="0"/>
          <w:sz w:val="32"/>
          <w:szCs w:val="32"/>
          <w:lang w:val="en-US" w:eastAsia="zh-CN"/>
        </w:rPr>
        <w:t>34.63万元</w:t>
      </w:r>
      <w:r>
        <w:rPr>
          <w:rFonts w:hint="eastAsia" w:ascii="仿宋_GB2312" w:hAnsi="仿宋_GB2312" w:eastAsia="仿宋_GB2312" w:cs="仿宋_GB2312"/>
          <w:kern w:val="0"/>
          <w:sz w:val="32"/>
          <w:szCs w:val="32"/>
        </w:rPr>
        <w:t>。</w:t>
      </w:r>
    </w:p>
    <w:p w14:paraId="2F116503">
      <w:pPr>
        <w:widowControl/>
        <w:spacing w:before="240" w:after="240"/>
        <w:rPr>
          <w:rFonts w:hint="eastAsia" w:ascii="仿宋_GB2312" w:hAnsi="仿宋_GB2312" w:eastAsia="仿宋_GB2312" w:cs="仿宋_GB2312"/>
          <w:kern w:val="0"/>
          <w:sz w:val="32"/>
          <w:szCs w:val="32"/>
          <w:lang w:val="en-US" w:eastAsia="zh-CN" w:bidi="ar-SA"/>
        </w:rPr>
      </w:pPr>
      <w:r>
        <w:rPr>
          <w:rFonts w:hint="eastAsia" w:ascii="仿宋" w:hAnsi="仿宋" w:eastAsia="仿宋" w:cs="仿宋"/>
          <w:b/>
          <w:bCs/>
          <w:color w:val="000000"/>
          <w:kern w:val="0"/>
          <w:sz w:val="28"/>
          <w:szCs w:val="28"/>
          <w:u w:val="none" w:color="auto"/>
        </w:rPr>
        <w:t xml:space="preserve">    </w:t>
      </w:r>
      <w:r>
        <w:rPr>
          <w:rFonts w:hint="eastAsia" w:ascii="楷体" w:hAnsi="楷体" w:eastAsia="楷体" w:cs="楷体"/>
          <w:b/>
          <w:bCs/>
          <w:kern w:val="0"/>
          <w:sz w:val="32"/>
          <w:szCs w:val="32"/>
          <w:lang w:val="en-US" w:eastAsia="zh-CN" w:bidi="ar-SA"/>
        </w:rPr>
        <w:t xml:space="preserve"> （三）资本性支出 0万元。</w:t>
      </w:r>
    </w:p>
    <w:p w14:paraId="6379478D">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8"/>
          <w:szCs w:val="28"/>
        </w:rPr>
        <w:t> </w:t>
      </w:r>
      <w:r>
        <w:rPr>
          <w:rFonts w:hint="eastAsia" w:ascii="Calibri" w:hAnsi="Calibri" w:eastAsia="宋体" w:cs="Calibri"/>
          <w:b/>
          <w:bCs/>
          <w:kern w:val="0"/>
          <w:sz w:val="28"/>
          <w:szCs w:val="28"/>
          <w:lang w:val="en-US" w:eastAsia="zh-CN"/>
        </w:rPr>
        <w:t xml:space="preserve">     </w:t>
      </w:r>
      <w:r>
        <w:rPr>
          <w:rFonts w:hint="eastAsia" w:ascii="黑体" w:hAnsi="黑体" w:eastAsia="黑体" w:cs="黑体"/>
          <w:b/>
          <w:bCs/>
          <w:kern w:val="0"/>
          <w:sz w:val="32"/>
          <w:szCs w:val="32"/>
        </w:rPr>
        <w:t>八、财政拨款“三公”经费支出决算情况说明</w:t>
      </w:r>
    </w:p>
    <w:p w14:paraId="49FACEA5">
      <w:pPr>
        <w:pageBreakBefore w:val="0"/>
        <w:widowControl/>
        <w:kinsoku/>
        <w:wordWrap/>
        <w:overflowPunct/>
        <w:topLinePunct w:val="0"/>
        <w:autoSpaceDE/>
        <w:autoSpaceDN/>
        <w:bidi w:val="0"/>
        <w:spacing w:line="580" w:lineRule="exact"/>
        <w:ind w:left="0" w:leftChars="0" w:firstLine="643" w:firstLineChars="200"/>
        <w:jc w:val="left"/>
        <w:textAlignment w:val="auto"/>
        <w:rPr>
          <w:rFonts w:hint="eastAsia" w:ascii="楷体" w:hAnsi="楷体" w:eastAsia="楷体" w:cs="楷体"/>
          <w:b/>
          <w:bCs/>
          <w:kern w:val="0"/>
          <w:sz w:val="32"/>
          <w:szCs w:val="32"/>
        </w:rPr>
      </w:pPr>
      <w:r>
        <w:rPr>
          <w:rFonts w:hint="eastAsia" w:ascii="楷体" w:hAnsi="楷体" w:eastAsia="楷体" w:cs="楷体"/>
          <w:b/>
          <w:bCs/>
          <w:kern w:val="0"/>
          <w:sz w:val="32"/>
          <w:szCs w:val="32"/>
        </w:rPr>
        <w:t>（一）财政拨款“三公”经费支出总体情况说明。</w:t>
      </w:r>
    </w:p>
    <w:p w14:paraId="6E486CB3">
      <w:pPr>
        <w:widowControl/>
        <w:spacing w:before="240" w:after="240"/>
        <w:rPr>
          <w:rFonts w:hint="eastAsia" w:ascii="仿宋_GB2312" w:hAnsi="仿宋_GB2312" w:eastAsia="仿宋_GB2312" w:cs="仿宋_GB2312"/>
          <w:kern w:val="0"/>
          <w:sz w:val="32"/>
          <w:szCs w:val="32"/>
          <w:u w:val="none"/>
          <w:lang w:eastAsia="zh-CN"/>
        </w:rPr>
      </w:pP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ascii="Calibri" w:hAnsi="Calibri" w:eastAsia="Calibri" w:cs="Calibri"/>
          <w:kern w:val="0"/>
          <w:sz w:val="28"/>
          <w:szCs w:val="28"/>
        </w:rPr>
        <w:t> </w:t>
      </w:r>
      <w:r>
        <w:rPr>
          <w:rFonts w:hint="eastAsia" w:ascii="Calibri" w:hAnsi="Calibri" w:cs="Calibri"/>
          <w:kern w:val="0"/>
          <w:sz w:val="28"/>
          <w:szCs w:val="28"/>
          <w:lang w:val="en-US" w:eastAsia="zh-CN"/>
        </w:rPr>
        <w:t xml:space="preserve">  </w:t>
      </w:r>
      <w:r>
        <w:rPr>
          <w:rFonts w:ascii="仿宋_GB2312" w:hAnsi="仿宋_GB2312" w:eastAsia="仿宋_GB2312" w:cs="仿宋_GB2312"/>
          <w:kern w:val="0"/>
          <w:sz w:val="28"/>
          <w:szCs w:val="28"/>
        </w:rPr>
        <w:t xml:space="preserve"> </w:t>
      </w:r>
      <w:r>
        <w:rPr>
          <w:rFonts w:hint="eastAsia" w:ascii="仿宋_GB2312" w:hAnsi="仿宋_GB2312" w:eastAsia="仿宋_GB2312" w:cs="仿宋_GB2312"/>
          <w:kern w:val="0"/>
          <w:sz w:val="32"/>
          <w:szCs w:val="32"/>
          <w:u w:val="none"/>
        </w:rPr>
        <w:t>赤峰市强制隔离戒毒所 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年度财政拨款“三公”经费全年预算 6.06万元，支出决算 6.06万元，完成预算的 100.00%。其中：因公出国（境）费全年预算 0万元，支出决算 0万元，完成预算的 0%；公务用车购置及运行维护费全年预算 5.72万元，支出决算 5.72万元，完成预算的 100.00%；公务接待费全年预算 0.33万元，支出决算 0.33万元，完成预算的 100.00%。2024年度一般公共预算财政拨款“三公”经费全年预算 6.06万元，支出决算 6.06万元</w:t>
      </w:r>
      <w:r>
        <w:rPr>
          <w:rFonts w:hint="eastAsia" w:ascii="仿宋_GB2312" w:hAnsi="仿宋_GB2312" w:eastAsia="仿宋_GB2312" w:cs="仿宋_GB2312"/>
          <w:kern w:val="0"/>
          <w:sz w:val="32"/>
          <w:szCs w:val="32"/>
          <w:u w:val="none"/>
          <w:lang w:eastAsia="zh-CN"/>
        </w:rPr>
        <w:t>。</w:t>
      </w:r>
    </w:p>
    <w:p w14:paraId="2981839C">
      <w:pPr>
        <w:widowControl/>
        <w:spacing w:before="240" w:after="240"/>
        <w:jc w:val="left"/>
        <w:rPr>
          <w:rFonts w:hint="eastAsia" w:ascii="楷体" w:hAnsi="楷体" w:eastAsia="楷体" w:cs="楷体"/>
          <w:b/>
          <w:bCs/>
          <w:kern w:val="0"/>
          <w:sz w:val="32"/>
          <w:szCs w:val="32"/>
        </w:rPr>
      </w:pPr>
      <w:r>
        <w:rPr>
          <w:rFonts w:ascii="kai_ti_gb2312" w:hAnsi="kai_ti_gb2312" w:eastAsia="kai_ti_gb2312" w:cs="kai_ti_gb2312"/>
          <w:b/>
          <w:bCs/>
          <w:kern w:val="0"/>
          <w:sz w:val="28"/>
          <w:szCs w:val="28"/>
        </w:rPr>
        <w:t xml:space="preserve">  </w:t>
      </w:r>
      <w:r>
        <w:rPr>
          <w:rFonts w:hint="eastAsia" w:ascii="楷体" w:hAnsi="楷体" w:eastAsia="楷体" w:cs="楷体"/>
          <w:b/>
          <w:bCs/>
          <w:kern w:val="0"/>
          <w:sz w:val="32"/>
          <w:szCs w:val="32"/>
        </w:rPr>
        <w:t>  （二）财政拨款“三公”经费支出具体情况说明。</w:t>
      </w:r>
    </w:p>
    <w:p w14:paraId="67B61C52">
      <w:pPr>
        <w:keepNext w:val="0"/>
        <w:keepLines w:val="0"/>
        <w:pageBreakBefore w:val="0"/>
        <w:widowControl/>
        <w:kinsoku/>
        <w:wordWrap/>
        <w:overflowPunct/>
        <w:topLinePunct w:val="0"/>
        <w:autoSpaceDE/>
        <w:autoSpaceDN/>
        <w:bidi w:val="0"/>
        <w:adjustRightInd/>
        <w:snapToGrid/>
        <w:spacing w:line="580" w:lineRule="exact"/>
        <w:ind w:left="0" w:leftChars="0" w:firstLine="560" w:firstLineChars="200"/>
        <w:textAlignment w:val="auto"/>
        <w:rPr>
          <w:rFonts w:hint="eastAsia" w:ascii="仿宋_GB2312" w:hAnsi="仿宋_GB2312" w:eastAsia="仿宋_GB2312" w:cs="仿宋_GB2312"/>
          <w:kern w:val="0"/>
          <w:sz w:val="32"/>
          <w:szCs w:val="32"/>
          <w:u w:val="none"/>
        </w:rPr>
      </w:pPr>
      <w:r>
        <w:rPr>
          <w:rFonts w:ascii="Calibri" w:hAnsi="Calibri" w:eastAsia="Calibri" w:cs="Calibri"/>
          <w:kern w:val="0"/>
          <w:sz w:val="28"/>
          <w:szCs w:val="28"/>
        </w:rPr>
        <w:t> </w:t>
      </w:r>
      <w:r>
        <w:rPr>
          <w:rFonts w:hint="eastAsia" w:ascii="仿宋_GB2312" w:hAnsi="仿宋_GB2312" w:eastAsia="仿宋_GB2312" w:cs="仿宋_GB2312"/>
          <w:kern w:val="0"/>
          <w:sz w:val="32"/>
          <w:szCs w:val="32"/>
          <w:u w:val="none"/>
        </w:rPr>
        <w:t xml:space="preserve"> 赤峰市强制隔离戒毒所 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年度财政拨款“三公”经费支出</w:t>
      </w:r>
      <w:r>
        <w:rPr>
          <w:rFonts w:hint="eastAsia" w:ascii="仿宋_GB2312" w:hAnsi="仿宋_GB2312" w:eastAsia="仿宋_GB2312" w:cs="仿宋_GB2312"/>
          <w:kern w:val="0"/>
          <w:sz w:val="32"/>
          <w:szCs w:val="32"/>
          <w:u w:val="none"/>
          <w:lang w:val="en-US" w:eastAsia="zh-CN"/>
        </w:rPr>
        <w:t>2.53</w:t>
      </w:r>
      <w:r>
        <w:rPr>
          <w:rFonts w:hint="eastAsia" w:ascii="仿宋_GB2312" w:hAnsi="仿宋_GB2312" w:eastAsia="仿宋_GB2312" w:cs="仿宋_GB2312"/>
          <w:kern w:val="0"/>
          <w:sz w:val="32"/>
          <w:szCs w:val="32"/>
          <w:u w:val="none"/>
        </w:rPr>
        <w:t xml:space="preserve">万元。因公出国（境）费支出 0万元，占 0%；公务用车购置及运行维护费支出 </w:t>
      </w:r>
      <w:r>
        <w:rPr>
          <w:rFonts w:hint="eastAsia" w:ascii="仿宋_GB2312" w:hAnsi="仿宋_GB2312" w:eastAsia="仿宋_GB2312" w:cs="仿宋_GB2312"/>
          <w:kern w:val="0"/>
          <w:sz w:val="32"/>
          <w:szCs w:val="32"/>
          <w:u w:val="none"/>
          <w:lang w:val="en-US" w:eastAsia="zh-CN"/>
        </w:rPr>
        <w:t>2.53</w:t>
      </w:r>
      <w:r>
        <w:rPr>
          <w:rFonts w:hint="eastAsia" w:ascii="仿宋_GB2312" w:hAnsi="仿宋_GB2312" w:eastAsia="仿宋_GB2312" w:cs="仿宋_GB2312"/>
          <w:kern w:val="0"/>
          <w:sz w:val="32"/>
          <w:szCs w:val="32"/>
          <w:u w:val="none"/>
        </w:rPr>
        <w:t>万元，占</w:t>
      </w:r>
      <w:r>
        <w:rPr>
          <w:rFonts w:hint="eastAsia" w:ascii="仿宋_GB2312" w:hAnsi="仿宋_GB2312" w:eastAsia="仿宋_GB2312" w:cs="仿宋_GB2312"/>
          <w:kern w:val="0"/>
          <w:sz w:val="32"/>
          <w:szCs w:val="32"/>
          <w:u w:val="none"/>
          <w:lang w:val="en-US" w:eastAsia="zh-CN"/>
        </w:rPr>
        <w:t>100</w:t>
      </w:r>
      <w:r>
        <w:rPr>
          <w:rFonts w:hint="eastAsia" w:ascii="仿宋_GB2312" w:hAnsi="仿宋_GB2312" w:eastAsia="仿宋_GB2312" w:cs="仿宋_GB2312"/>
          <w:kern w:val="0"/>
          <w:sz w:val="32"/>
          <w:szCs w:val="32"/>
          <w:u w:val="none"/>
        </w:rPr>
        <w:t>%。其中：</w:t>
      </w:r>
    </w:p>
    <w:p w14:paraId="2A99D70E">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1.因公出国（境）费支出 0万元，全年出国（境）团组0 个，累计0 人次。与上年决算相比，增加 0万元，增长 0%，</w:t>
      </w:r>
      <w:r>
        <w:rPr>
          <w:rFonts w:hint="eastAsia" w:ascii="仿宋_GB2312" w:hAnsi="仿宋_GB2312" w:eastAsia="仿宋_GB2312" w:cs="仿宋_GB2312"/>
          <w:kern w:val="0"/>
          <w:sz w:val="32"/>
          <w:szCs w:val="32"/>
          <w:u w:val="none"/>
          <w:lang w:val="en-US" w:eastAsia="zh-CN"/>
        </w:rPr>
        <w:t>与上年决算持平</w:t>
      </w:r>
      <w:r>
        <w:rPr>
          <w:rFonts w:hint="eastAsia" w:ascii="仿宋_GB2312" w:hAnsi="仿宋_GB2312" w:eastAsia="仿宋_GB2312" w:cs="仿宋_GB2312"/>
          <w:kern w:val="0"/>
          <w:sz w:val="32"/>
          <w:szCs w:val="32"/>
          <w:u w:val="none"/>
        </w:rPr>
        <w:t>。</w:t>
      </w:r>
    </w:p>
    <w:p w14:paraId="08B3CD54">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 xml:space="preserve"> 2.公务用车购置及运行维护费支出 </w:t>
      </w:r>
      <w:r>
        <w:rPr>
          <w:rFonts w:hint="eastAsia" w:ascii="仿宋_GB2312" w:hAnsi="仿宋_GB2312" w:eastAsia="仿宋_GB2312" w:cs="仿宋_GB2312"/>
          <w:kern w:val="0"/>
          <w:sz w:val="32"/>
          <w:szCs w:val="32"/>
          <w:u w:val="none"/>
          <w:lang w:val="en-US" w:eastAsia="zh-CN"/>
        </w:rPr>
        <w:t>2.53</w:t>
      </w:r>
      <w:r>
        <w:rPr>
          <w:rFonts w:hint="eastAsia" w:ascii="仿宋_GB2312" w:hAnsi="仿宋_GB2312" w:eastAsia="仿宋_GB2312" w:cs="仿宋_GB2312"/>
          <w:kern w:val="0"/>
          <w:sz w:val="32"/>
          <w:szCs w:val="32"/>
          <w:u w:val="none"/>
        </w:rPr>
        <w:t>万元。其中：</w:t>
      </w:r>
    </w:p>
    <w:p w14:paraId="14A0A036">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（1）公务用车购置支出 0万元。本年度使用财政拨款购置公务用车0 辆，与上年决算相比，增加0万元，增长0%，</w:t>
      </w:r>
      <w:r>
        <w:rPr>
          <w:rFonts w:hint="eastAsia" w:ascii="仿宋_GB2312" w:hAnsi="仿宋_GB2312" w:eastAsia="仿宋_GB2312" w:cs="仿宋_GB2312"/>
          <w:kern w:val="0"/>
          <w:sz w:val="32"/>
          <w:szCs w:val="32"/>
          <w:u w:val="none"/>
          <w:lang w:val="en-US" w:eastAsia="zh-CN"/>
        </w:rPr>
        <w:t>与上年决算持平</w:t>
      </w:r>
      <w:r>
        <w:rPr>
          <w:rFonts w:hint="eastAsia" w:ascii="仿宋_GB2312" w:hAnsi="仿宋_GB2312" w:eastAsia="仿宋_GB2312" w:cs="仿宋_GB2312"/>
          <w:kern w:val="0"/>
          <w:sz w:val="32"/>
          <w:szCs w:val="32"/>
          <w:u w:val="none"/>
        </w:rPr>
        <w:t>。</w:t>
      </w:r>
    </w:p>
    <w:p w14:paraId="04545F80">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（2）公务用车运行维护费支出</w:t>
      </w:r>
      <w:r>
        <w:rPr>
          <w:rFonts w:hint="eastAsia" w:ascii="仿宋_GB2312" w:hAnsi="仿宋_GB2312" w:eastAsia="仿宋_GB2312" w:cs="仿宋_GB2312"/>
          <w:kern w:val="0"/>
          <w:sz w:val="32"/>
          <w:szCs w:val="32"/>
          <w:u w:val="none"/>
          <w:lang w:val="en-US" w:eastAsia="zh-CN"/>
        </w:rPr>
        <w:t>2.53</w:t>
      </w:r>
      <w:r>
        <w:rPr>
          <w:rFonts w:hint="eastAsia" w:ascii="仿宋_GB2312" w:hAnsi="仿宋_GB2312" w:eastAsia="仿宋_GB2312" w:cs="仿宋_GB2312"/>
          <w:kern w:val="0"/>
          <w:sz w:val="32"/>
          <w:szCs w:val="32"/>
          <w:u w:val="none"/>
        </w:rPr>
        <w:t xml:space="preserve"> 5.72万元。公务用车运行维护费主要用于按规定保留的公务用车的燃料费、维修费、过桥过路费、保险费、安全奖励费用等支出。截至2024年12月31日，使用财政拨款开支的公务用车保有量为7 辆。与上年决算相比，</w:t>
      </w:r>
      <w:r>
        <w:rPr>
          <w:rFonts w:hint="eastAsia" w:ascii="仿宋_GB2312" w:hAnsi="仿宋_GB2312" w:eastAsia="仿宋_GB2312" w:cs="仿宋_GB2312"/>
          <w:kern w:val="0"/>
          <w:sz w:val="32"/>
          <w:szCs w:val="32"/>
          <w:u w:val="none"/>
          <w:lang w:val="en-US" w:eastAsia="zh-CN"/>
        </w:rPr>
        <w:t>减少3.19</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val="en-US" w:eastAsia="zh-CN"/>
        </w:rPr>
        <w:t>减少55.77</w:t>
      </w:r>
      <w:r>
        <w:rPr>
          <w:rFonts w:hint="eastAsia" w:ascii="仿宋_GB2312" w:hAnsi="仿宋_GB2312" w:eastAsia="仿宋_GB2312" w:cs="仿宋_GB2312"/>
          <w:kern w:val="0"/>
          <w:sz w:val="32"/>
          <w:szCs w:val="32"/>
          <w:u w:val="none"/>
        </w:rPr>
        <w:t>%，变动原因：</w:t>
      </w:r>
      <w:r>
        <w:rPr>
          <w:rFonts w:hint="eastAsia" w:ascii="仿宋_GB2312" w:hAnsi="仿宋_GB2312" w:eastAsia="仿宋_GB2312" w:cs="仿宋_GB2312"/>
          <w:kern w:val="0"/>
          <w:sz w:val="32"/>
          <w:szCs w:val="32"/>
          <w:u w:val="none"/>
          <w:lang w:eastAsia="zh-CN"/>
        </w:rPr>
        <w:t>本年由于公务用车年</w:t>
      </w:r>
      <w:r>
        <w:rPr>
          <w:rFonts w:hint="eastAsia" w:ascii="仿宋_GB2312" w:hAnsi="仿宋_GB2312" w:eastAsia="仿宋_GB2312" w:cs="仿宋_GB2312"/>
          <w:kern w:val="0"/>
          <w:sz w:val="32"/>
          <w:szCs w:val="32"/>
          <w:u w:val="none"/>
          <w:lang w:val="en-US" w:eastAsia="zh-CN"/>
        </w:rPr>
        <w:t>运行经费中车辆维修经费较上年支出较少</w:t>
      </w:r>
      <w:r>
        <w:rPr>
          <w:rFonts w:hint="eastAsia" w:ascii="仿宋_GB2312" w:hAnsi="仿宋_GB2312" w:eastAsia="仿宋_GB2312" w:cs="仿宋_GB2312"/>
          <w:kern w:val="0"/>
          <w:sz w:val="32"/>
          <w:szCs w:val="32"/>
          <w:u w:val="none"/>
        </w:rPr>
        <w:t>。</w:t>
      </w:r>
    </w:p>
    <w:p w14:paraId="2BFA2C11">
      <w:pPr>
        <w:keepNext w:val="0"/>
        <w:keepLines w:val="0"/>
        <w:pageBreakBefore w:val="0"/>
        <w:widowControl/>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val="en-US" w:eastAsia="zh-CN"/>
        </w:rPr>
        <w:t xml:space="preserve"> </w:t>
      </w:r>
      <w:r>
        <w:rPr>
          <w:rFonts w:hint="eastAsia" w:ascii="仿宋_GB2312" w:hAnsi="仿宋_GB2312" w:eastAsia="仿宋_GB2312" w:cs="仿宋_GB2312"/>
          <w:kern w:val="0"/>
          <w:sz w:val="32"/>
          <w:szCs w:val="32"/>
          <w:u w:val="none"/>
        </w:rPr>
        <w:t>3.公务接待费支出</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 xml:space="preserve">万元。其中：国内公务接待支出 </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万元，接待</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批次，</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人次；国（境）外公务接待支出 0万元，接待0 批次，0 人次。与上年决算相比，</w:t>
      </w:r>
      <w:r>
        <w:rPr>
          <w:rFonts w:hint="eastAsia" w:ascii="仿宋_GB2312" w:hAnsi="仿宋_GB2312" w:eastAsia="仿宋_GB2312" w:cs="仿宋_GB2312"/>
          <w:kern w:val="0"/>
          <w:sz w:val="32"/>
          <w:szCs w:val="32"/>
          <w:u w:val="none"/>
          <w:lang w:val="en-US" w:eastAsia="zh-CN"/>
        </w:rPr>
        <w:t>减少0.33</w:t>
      </w:r>
      <w:r>
        <w:rPr>
          <w:rFonts w:hint="eastAsia" w:ascii="仿宋_GB2312" w:hAnsi="仿宋_GB2312" w:eastAsia="仿宋_GB2312" w:cs="仿宋_GB2312"/>
          <w:kern w:val="0"/>
          <w:sz w:val="32"/>
          <w:szCs w:val="32"/>
          <w:u w:val="none"/>
        </w:rPr>
        <w:t>万元，</w:t>
      </w:r>
      <w:r>
        <w:rPr>
          <w:rFonts w:hint="eastAsia" w:ascii="仿宋_GB2312" w:hAnsi="仿宋_GB2312" w:eastAsia="仿宋_GB2312" w:cs="仿宋_GB2312"/>
          <w:kern w:val="0"/>
          <w:sz w:val="32"/>
          <w:szCs w:val="32"/>
          <w:u w:val="none"/>
          <w:lang w:val="en-US" w:eastAsia="zh-CN"/>
        </w:rPr>
        <w:t>减少100</w:t>
      </w:r>
      <w:r>
        <w:rPr>
          <w:rFonts w:hint="eastAsia" w:ascii="仿宋_GB2312" w:hAnsi="仿宋_GB2312" w:eastAsia="仿宋_GB2312" w:cs="仿宋_GB2312"/>
          <w:kern w:val="0"/>
          <w:sz w:val="32"/>
          <w:szCs w:val="32"/>
          <w:u w:val="none"/>
        </w:rPr>
        <w:t>%，变动原因：</w:t>
      </w:r>
      <w:r>
        <w:rPr>
          <w:rFonts w:hint="eastAsia" w:ascii="仿宋_GB2312" w:hAnsi="仿宋_GB2312" w:eastAsia="仿宋_GB2312" w:cs="仿宋_GB2312"/>
          <w:kern w:val="0"/>
          <w:sz w:val="32"/>
          <w:szCs w:val="32"/>
          <w:u w:val="none"/>
          <w:lang w:val="en-US" w:eastAsia="zh-CN"/>
        </w:rPr>
        <w:t>本年度无公务接待费支出</w:t>
      </w:r>
      <w:r>
        <w:rPr>
          <w:rFonts w:hint="eastAsia" w:ascii="仿宋_GB2312" w:hAnsi="仿宋_GB2312" w:eastAsia="仿宋_GB2312" w:cs="仿宋_GB2312"/>
          <w:kern w:val="0"/>
          <w:sz w:val="32"/>
          <w:szCs w:val="32"/>
          <w:u w:val="none"/>
        </w:rPr>
        <w:t>。</w:t>
      </w:r>
    </w:p>
    <w:p w14:paraId="616FC24E">
      <w:pPr>
        <w:widowControl/>
        <w:spacing w:before="240" w:after="240"/>
        <w:jc w:val="left"/>
        <w:rPr>
          <w:rFonts w:hint="eastAsia" w:ascii="黑体" w:hAnsi="黑体" w:eastAsia="黑体" w:cs="黑体"/>
          <w:b/>
          <w:bCs/>
          <w:kern w:val="0"/>
          <w:sz w:val="32"/>
          <w:szCs w:val="32"/>
        </w:rPr>
      </w:pPr>
      <w:r>
        <w:rPr>
          <w:rFonts w:ascii="Calibri" w:hAnsi="Calibri" w:eastAsia="Calibri" w:cs="Calibri"/>
          <w:b/>
          <w:bCs/>
          <w:kern w:val="0"/>
          <w:sz w:val="28"/>
          <w:szCs w:val="28"/>
        </w:rPr>
        <w:t> </w:t>
      </w:r>
      <w:r>
        <w:rPr>
          <w:rFonts w:hint="eastAsia" w:ascii="Calibri" w:hAnsi="Calibri" w:eastAsia="宋体" w:cs="Calibri"/>
          <w:b/>
          <w:bCs/>
          <w:kern w:val="0"/>
          <w:sz w:val="28"/>
          <w:szCs w:val="28"/>
          <w:lang w:val="en-US" w:eastAsia="zh-CN"/>
        </w:rPr>
        <w:t xml:space="preserve">    </w:t>
      </w:r>
      <w:r>
        <w:rPr>
          <w:rFonts w:hint="eastAsia" w:ascii="黑体" w:hAnsi="黑体" w:eastAsia="黑体" w:cs="黑体"/>
          <w:b/>
          <w:bCs/>
          <w:kern w:val="0"/>
          <w:sz w:val="32"/>
          <w:szCs w:val="32"/>
        </w:rPr>
        <w:t>九、政府性基金预算财政拨款支出决算情况说明</w:t>
      </w:r>
    </w:p>
    <w:p w14:paraId="40227E04">
      <w:pPr>
        <w:pageBreakBefore w:val="0"/>
        <w:kinsoku/>
        <w:wordWrap/>
        <w:overflowPunct/>
        <w:topLinePunct w:val="0"/>
        <w:autoSpaceDE/>
        <w:autoSpaceDN/>
        <w:bidi w:val="0"/>
        <w:spacing w:line="580" w:lineRule="exact"/>
        <w:ind w:left="0" w:leftChars="0" w:firstLine="640"/>
        <w:jc w:val="both"/>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年度政府性基金预算财政拨款支出决算 0万元。与上年决算相比，增加（减少） 0万元，增长（下降） 0%，变动原因：本年无政府性基金预算财政拨款收、支、余</w:t>
      </w:r>
      <w:r>
        <w:rPr>
          <w:rFonts w:hint="eastAsia" w:ascii="仿宋_GB2312" w:hAnsi="仿宋_GB2312" w:eastAsia="仿宋_GB2312" w:cs="仿宋_GB2312"/>
          <w:kern w:val="0"/>
          <w:sz w:val="32"/>
          <w:szCs w:val="32"/>
          <w:lang w:eastAsia="zh-CN"/>
        </w:rPr>
        <w:t>。</w:t>
      </w:r>
    </w:p>
    <w:p w14:paraId="345BEBE3">
      <w:pPr>
        <w:widowControl/>
        <w:spacing w:before="240" w:after="240"/>
        <w:ind w:firstLine="643" w:firstLineChars="200"/>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十、国有资本经营预算财政拨款支出决算情况说明</w:t>
      </w:r>
    </w:p>
    <w:p w14:paraId="5B03381E">
      <w:pPr>
        <w:widowControl/>
        <w:spacing w:before="240" w:after="240"/>
        <w:ind w:firstLine="640" w:firstLineChars="200"/>
        <w:rPr>
          <w:rFonts w:hint="eastAsia" w:ascii="仿宋_GB2312" w:hAnsi="仿宋_GB2312" w:eastAsia="仿宋_GB2312" w:cs="仿宋_GB2312"/>
          <w:kern w:val="0"/>
          <w:sz w:val="32"/>
          <w:szCs w:val="32"/>
          <w:lang w:val="en-US" w:eastAsia="zh-CN"/>
        </w:rPr>
      </w:pPr>
      <w:r>
        <w:rPr>
          <w:rFonts w:hint="eastAsia" w:ascii="仿宋_GB2312" w:hAnsi="仿宋_GB2312" w:eastAsia="仿宋_GB2312" w:cs="仿宋_GB2312"/>
          <w:kern w:val="0"/>
          <w:sz w:val="32"/>
          <w:szCs w:val="32"/>
          <w:lang w:val="en-US" w:eastAsia="zh-CN"/>
        </w:rPr>
        <w:t>赤峰市强制隔离戒毒所 2025年度国有资本经营预算财政拨款支出决算 0万元。与上年决算相比，增加（减少） 0万元，增长（下降） 0%，变动原因：本年无国有资本经营预算财政拨款收、支、余。</w:t>
      </w:r>
    </w:p>
    <w:p w14:paraId="23B8F323">
      <w:pPr>
        <w:widowControl/>
        <w:spacing w:before="240" w:after="240"/>
        <w:ind w:firstLine="643" w:firstLineChars="200"/>
        <w:rPr>
          <w:rFonts w:hint="eastAsia" w:ascii="黑体" w:hAnsi="黑体" w:eastAsia="黑体" w:cs="黑体"/>
          <w:b/>
          <w:bCs/>
          <w:kern w:val="0"/>
          <w:sz w:val="32"/>
          <w:szCs w:val="32"/>
        </w:rPr>
      </w:pPr>
      <w:r>
        <w:rPr>
          <w:rFonts w:hint="eastAsia" w:ascii="黑体" w:hAnsi="黑体" w:eastAsia="黑体" w:cs="黑体"/>
          <w:b/>
          <w:bCs/>
          <w:kern w:val="0"/>
          <w:sz w:val="32"/>
          <w:szCs w:val="32"/>
        </w:rPr>
        <w:t>十一、机关运行经费（公用经费）支出决算情况说明</w:t>
      </w:r>
    </w:p>
    <w:p w14:paraId="42B3DDCD">
      <w:pPr>
        <w:widowControl/>
        <w:spacing w:before="240" w:after="240"/>
        <w:ind w:firstLine="640" w:firstLineChars="200"/>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赤峰市强制隔离戒毒所 202</w:t>
      </w:r>
      <w:r>
        <w:rPr>
          <w:rFonts w:hint="eastAsia" w:ascii="仿宋_GB2312" w:hAnsi="仿宋_GB2312" w:eastAsia="仿宋_GB2312" w:cs="仿宋_GB2312"/>
          <w:kern w:val="0"/>
          <w:sz w:val="32"/>
          <w:szCs w:val="32"/>
          <w:lang w:val="en-US" w:eastAsia="zh-CN"/>
        </w:rPr>
        <w:t>5</w:t>
      </w:r>
      <w:r>
        <w:rPr>
          <w:rFonts w:hint="eastAsia" w:ascii="仿宋_GB2312" w:hAnsi="仿宋_GB2312" w:eastAsia="仿宋_GB2312" w:cs="仿宋_GB2312"/>
          <w:kern w:val="0"/>
          <w:sz w:val="32"/>
          <w:szCs w:val="32"/>
        </w:rPr>
        <w:t>年度公用经费支出决算</w:t>
      </w:r>
      <w:r>
        <w:rPr>
          <w:rFonts w:hint="eastAsia" w:ascii="仿宋_GB2312" w:hAnsi="仿宋_GB2312" w:eastAsia="仿宋_GB2312" w:cs="仿宋_GB2312"/>
          <w:kern w:val="0"/>
          <w:sz w:val="32"/>
          <w:szCs w:val="32"/>
          <w:lang w:val="en-US" w:eastAsia="zh-CN"/>
        </w:rPr>
        <w:t>139.75</w:t>
      </w:r>
      <w:r>
        <w:rPr>
          <w:rFonts w:hint="eastAsia" w:ascii="仿宋_GB2312" w:hAnsi="仿宋_GB2312" w:eastAsia="仿宋_GB2312" w:cs="仿宋_GB2312"/>
          <w:kern w:val="0"/>
          <w:sz w:val="32"/>
          <w:szCs w:val="32"/>
        </w:rPr>
        <w:t xml:space="preserve"> 万元，与上年决算相比，</w:t>
      </w:r>
      <w:r>
        <w:rPr>
          <w:rFonts w:hint="eastAsia" w:ascii="仿宋_GB2312" w:hAnsi="仿宋_GB2312" w:eastAsia="仿宋_GB2312" w:cs="仿宋_GB2312"/>
          <w:kern w:val="0"/>
          <w:sz w:val="32"/>
          <w:szCs w:val="32"/>
          <w:lang w:val="en-US" w:eastAsia="zh-CN"/>
        </w:rPr>
        <w:t>减少23.04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减少14.15</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2025年度维修维护费较上年减少</w:t>
      </w:r>
      <w:r>
        <w:rPr>
          <w:rFonts w:hint="eastAsia" w:ascii="仿宋_GB2312" w:hAnsi="仿宋_GB2312" w:eastAsia="仿宋_GB2312" w:cs="仿宋_GB2312"/>
          <w:kern w:val="0"/>
          <w:sz w:val="32"/>
          <w:szCs w:val="32"/>
        </w:rPr>
        <w:t xml:space="preserve">。其中，机关运行经费支出决算 </w:t>
      </w:r>
      <w:r>
        <w:rPr>
          <w:rFonts w:hint="eastAsia" w:ascii="仿宋_GB2312" w:hAnsi="仿宋_GB2312" w:eastAsia="仿宋_GB2312" w:cs="仿宋_GB2312"/>
          <w:kern w:val="0"/>
          <w:sz w:val="32"/>
          <w:szCs w:val="32"/>
          <w:lang w:val="en-US" w:eastAsia="zh-CN"/>
        </w:rPr>
        <w:t>139.75</w:t>
      </w:r>
      <w:r>
        <w:rPr>
          <w:rFonts w:hint="eastAsia" w:ascii="仿宋_GB2312" w:hAnsi="仿宋_GB2312" w:eastAsia="仿宋_GB2312" w:cs="仿宋_GB2312"/>
          <w:kern w:val="0"/>
          <w:sz w:val="32"/>
          <w:szCs w:val="32"/>
        </w:rPr>
        <w:t>万元。比上年决算相比，</w:t>
      </w:r>
      <w:r>
        <w:rPr>
          <w:rFonts w:hint="eastAsia" w:ascii="仿宋_GB2312" w:hAnsi="仿宋_GB2312" w:eastAsia="仿宋_GB2312" w:cs="仿宋_GB2312"/>
          <w:kern w:val="0"/>
          <w:sz w:val="32"/>
          <w:szCs w:val="32"/>
          <w:lang w:val="en-US" w:eastAsia="zh-CN"/>
        </w:rPr>
        <w:t>减少23.04</w:t>
      </w:r>
      <w:r>
        <w:rPr>
          <w:rFonts w:hint="eastAsia" w:ascii="仿宋_GB2312" w:hAnsi="仿宋_GB2312" w:eastAsia="仿宋_GB2312" w:cs="仿宋_GB2312"/>
          <w:kern w:val="0"/>
          <w:sz w:val="32"/>
          <w:szCs w:val="32"/>
        </w:rPr>
        <w:t>万元，</w:t>
      </w:r>
      <w:r>
        <w:rPr>
          <w:rFonts w:hint="eastAsia" w:ascii="仿宋_GB2312" w:hAnsi="仿宋_GB2312" w:eastAsia="仿宋_GB2312" w:cs="仿宋_GB2312"/>
          <w:kern w:val="0"/>
          <w:sz w:val="32"/>
          <w:szCs w:val="32"/>
          <w:lang w:val="en-US" w:eastAsia="zh-CN"/>
        </w:rPr>
        <w:t>减少14.15</w:t>
      </w:r>
      <w:r>
        <w:rPr>
          <w:rFonts w:hint="eastAsia" w:ascii="仿宋_GB2312" w:hAnsi="仿宋_GB2312" w:eastAsia="仿宋_GB2312" w:cs="仿宋_GB2312"/>
          <w:kern w:val="0"/>
          <w:sz w:val="32"/>
          <w:szCs w:val="32"/>
        </w:rPr>
        <w:t>%，变动原因：</w:t>
      </w:r>
      <w:r>
        <w:rPr>
          <w:rFonts w:hint="eastAsia" w:ascii="仿宋_GB2312" w:hAnsi="仿宋_GB2312" w:eastAsia="仿宋_GB2312" w:cs="仿宋_GB2312"/>
          <w:kern w:val="0"/>
          <w:sz w:val="32"/>
          <w:szCs w:val="32"/>
          <w:lang w:val="en-US" w:eastAsia="zh-CN"/>
        </w:rPr>
        <w:t>2025年度维修维护费较上年减少。</w:t>
      </w:r>
      <w:bookmarkStart w:id="1" w:name="_GoBack"/>
      <w:bookmarkEnd w:id="1"/>
    </w:p>
    <w:p w14:paraId="752D1D77">
      <w:pPr>
        <w:widowControl/>
        <w:spacing w:before="240" w:after="240"/>
        <w:rPr>
          <w:rFonts w:hint="eastAsia" w:ascii="黑体" w:hAnsi="黑体" w:eastAsia="黑体" w:cs="黑体"/>
          <w:b/>
          <w:bCs/>
          <w:color w:val="auto"/>
          <w:kern w:val="0"/>
          <w:sz w:val="32"/>
          <w:szCs w:val="32"/>
        </w:rPr>
      </w:pPr>
      <w:r>
        <w:rPr>
          <w:rFonts w:ascii="Calibri" w:hAnsi="Calibri" w:eastAsia="Calibri" w:cs="Calibri"/>
          <w:color w:val="1200FF"/>
          <w:kern w:val="0"/>
          <w:sz w:val="28"/>
          <w:szCs w:val="28"/>
        </w:rPr>
        <w:t> </w:t>
      </w:r>
      <w:r>
        <w:rPr>
          <w:rFonts w:ascii="仿宋_GB2312" w:hAnsi="仿宋_GB2312" w:eastAsia="仿宋_GB2312" w:cs="仿宋_GB2312"/>
          <w:color w:val="1200FF"/>
          <w:kern w:val="0"/>
          <w:sz w:val="28"/>
          <w:szCs w:val="28"/>
        </w:rPr>
        <w:t xml:space="preserve"> </w:t>
      </w:r>
      <w:r>
        <w:rPr>
          <w:rFonts w:ascii="Calibri" w:hAnsi="Calibri" w:eastAsia="Calibri" w:cs="Calibri"/>
          <w:color w:val="1200FF"/>
          <w:kern w:val="0"/>
          <w:sz w:val="28"/>
          <w:szCs w:val="28"/>
        </w:rPr>
        <w:t> </w:t>
      </w:r>
      <w:r>
        <w:rPr>
          <w:rFonts w:ascii="Calibri" w:hAnsi="Calibri" w:eastAsia="Calibri" w:cs="Calibri"/>
          <w:b/>
          <w:bCs/>
          <w:kern w:val="0"/>
          <w:sz w:val="28"/>
          <w:szCs w:val="28"/>
        </w:rPr>
        <w:t> </w:t>
      </w:r>
      <w:r>
        <w:rPr>
          <w:rFonts w:ascii="黑体" w:hAnsi="黑体" w:eastAsia="黑体" w:cs="黑体"/>
          <w:b/>
          <w:bCs/>
          <w:kern w:val="0"/>
          <w:sz w:val="28"/>
          <w:szCs w:val="28"/>
        </w:rPr>
        <w:t xml:space="preserve"> </w:t>
      </w:r>
      <w:r>
        <w:rPr>
          <w:rFonts w:hint="eastAsia" w:ascii="黑体" w:hAnsi="黑体" w:eastAsia="黑体" w:cs="黑体"/>
          <w:b/>
          <w:bCs/>
          <w:kern w:val="0"/>
          <w:sz w:val="32"/>
          <w:szCs w:val="32"/>
        </w:rPr>
        <w:t> </w:t>
      </w:r>
      <w:r>
        <w:rPr>
          <w:rFonts w:hint="eastAsia" w:ascii="黑体" w:hAnsi="黑体" w:eastAsia="黑体" w:cs="黑体"/>
          <w:b/>
          <w:bCs/>
          <w:color w:val="auto"/>
          <w:kern w:val="0"/>
          <w:sz w:val="32"/>
          <w:szCs w:val="32"/>
        </w:rPr>
        <w:t xml:space="preserve"> 十二、政府采购支出决算情况说明</w:t>
      </w:r>
    </w:p>
    <w:p w14:paraId="19EC7B2E">
      <w:pPr>
        <w:widowControl/>
        <w:spacing w:before="240" w:after="240"/>
        <w:rPr>
          <w:rFonts w:hint="eastAsia" w:ascii="仿宋_GB2312" w:hAnsi="仿宋_GB2312" w:eastAsia="仿宋_GB2312" w:cs="仿宋_GB2312"/>
          <w:kern w:val="0"/>
          <w:sz w:val="32"/>
          <w:szCs w:val="32"/>
          <w:u w:val="none"/>
        </w:rPr>
      </w:pPr>
      <w:r>
        <w:rPr>
          <w:rFonts w:ascii="Calibri" w:hAnsi="Calibri" w:eastAsia="Calibri" w:cs="Calibri"/>
          <w:kern w:val="0"/>
          <w:sz w:val="28"/>
          <w:szCs w:val="28"/>
        </w:rPr>
        <w:t> </w:t>
      </w:r>
      <w:r>
        <w:rPr>
          <w:rFonts w:ascii="仿宋_GB2312" w:hAnsi="仿宋_GB2312" w:eastAsia="仿宋_GB2312" w:cs="仿宋_GB2312"/>
          <w:kern w:val="0"/>
          <w:sz w:val="28"/>
          <w:szCs w:val="28"/>
        </w:rPr>
        <w:t xml:space="preserve"> </w:t>
      </w:r>
      <w:r>
        <w:rPr>
          <w:rFonts w:ascii="Calibri" w:hAnsi="Calibri" w:eastAsia="Calibri" w:cs="Calibri"/>
          <w:kern w:val="0"/>
          <w:sz w:val="28"/>
          <w:szCs w:val="28"/>
        </w:rPr>
        <w:t> </w:t>
      </w:r>
      <w:r>
        <w:rPr>
          <w:rFonts w:hint="eastAsia" w:ascii="仿宋" w:hAnsi="仿宋" w:eastAsia="仿宋" w:cs="仿宋"/>
          <w:kern w:val="0"/>
          <w:sz w:val="28"/>
          <w:szCs w:val="28"/>
          <w:u w:val="none" w:color="auto"/>
        </w:rPr>
        <w:t xml:space="preserve"> </w:t>
      </w:r>
      <w:r>
        <w:rPr>
          <w:rFonts w:hint="eastAsia" w:ascii="仿宋" w:hAnsi="仿宋" w:eastAsia="仿宋" w:cs="仿宋"/>
          <w:kern w:val="0"/>
          <w:sz w:val="28"/>
          <w:szCs w:val="28"/>
          <w:u w:val="none" w:color="auto"/>
          <w:lang w:val="en-US" w:eastAsia="zh-CN"/>
        </w:rPr>
        <w:t xml:space="preserve">  </w:t>
      </w:r>
      <w:r>
        <w:rPr>
          <w:rFonts w:hint="eastAsia" w:ascii="仿宋_GB2312" w:hAnsi="仿宋_GB2312" w:eastAsia="仿宋_GB2312" w:cs="仿宋_GB2312"/>
          <w:kern w:val="0"/>
          <w:sz w:val="32"/>
          <w:szCs w:val="32"/>
          <w:u w:val="none"/>
        </w:rPr>
        <w:t>赤峰市强制隔离戒毒所 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年度政府采购支出总额</w:t>
      </w:r>
      <w:r>
        <w:rPr>
          <w:rFonts w:hint="eastAsia" w:ascii="仿宋_GB2312" w:hAnsi="仿宋_GB2312" w:eastAsia="仿宋_GB2312" w:cs="仿宋_GB2312"/>
          <w:kern w:val="0"/>
          <w:sz w:val="32"/>
          <w:szCs w:val="32"/>
          <w:u w:val="none"/>
          <w:lang w:val="en-US" w:eastAsia="zh-CN"/>
        </w:rPr>
        <w:t>1.09</w:t>
      </w:r>
      <w:r>
        <w:rPr>
          <w:rFonts w:hint="eastAsia" w:ascii="仿宋_GB2312" w:hAnsi="仿宋_GB2312" w:eastAsia="仿宋_GB2312" w:cs="仿宋_GB2312"/>
          <w:kern w:val="0"/>
          <w:sz w:val="32"/>
          <w:szCs w:val="32"/>
          <w:u w:val="none"/>
        </w:rPr>
        <w:t> 万元，其中：政府采购货物支出 </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万元、政府采购工程支出 0万元、政府采购服务支出 </w:t>
      </w:r>
      <w:r>
        <w:rPr>
          <w:rFonts w:hint="eastAsia" w:ascii="仿宋_GB2312" w:hAnsi="仿宋_GB2312" w:eastAsia="仿宋_GB2312" w:cs="仿宋_GB2312"/>
          <w:kern w:val="0"/>
          <w:sz w:val="32"/>
          <w:szCs w:val="32"/>
          <w:u w:val="none"/>
          <w:lang w:val="en-US" w:eastAsia="zh-CN"/>
        </w:rPr>
        <w:t>1.09</w:t>
      </w:r>
      <w:r>
        <w:rPr>
          <w:rFonts w:hint="eastAsia" w:ascii="仿宋_GB2312" w:hAnsi="仿宋_GB2312" w:eastAsia="仿宋_GB2312" w:cs="仿宋_GB2312"/>
          <w:kern w:val="0"/>
          <w:sz w:val="32"/>
          <w:szCs w:val="32"/>
          <w:u w:val="none"/>
        </w:rPr>
        <w:t>万元。政府采购授予中小企业合同金额 0万元，占政府采购支出总额的XX.X%，其中：授予小微企业合同金额  0万元，占政府采购支出总额的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%；货物采购授予中小企业合同金额占货物支出金额的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%，工程采购授予中小企业合同金额占工程支出金额的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%，服务采购授予中小企业合同金额占服务支出金额的</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w:t>
      </w:r>
    </w:p>
    <w:p w14:paraId="16CD4BD7">
      <w:pPr>
        <w:widowControl/>
        <w:spacing w:before="240" w:after="240"/>
        <w:ind w:firstLine="643" w:firstLineChars="200"/>
        <w:jc w:val="left"/>
        <w:rPr>
          <w:rFonts w:hint="eastAsia" w:ascii="黑体" w:hAnsi="黑体" w:eastAsia="黑体" w:cs="黑体"/>
          <w:b/>
          <w:bCs/>
          <w:kern w:val="0"/>
          <w:sz w:val="32"/>
          <w:szCs w:val="32"/>
        </w:rPr>
      </w:pPr>
      <w:r>
        <w:rPr>
          <w:rFonts w:hint="eastAsia" w:ascii="黑体" w:hAnsi="黑体" w:eastAsia="黑体" w:cs="黑体"/>
          <w:b/>
          <w:bCs/>
          <w:kern w:val="0"/>
          <w:sz w:val="32"/>
          <w:szCs w:val="32"/>
        </w:rPr>
        <w:t>十三、国有资产占用情况说明</w:t>
      </w:r>
    </w:p>
    <w:p w14:paraId="5932BBE5">
      <w:pPr>
        <w:widowControl/>
        <w:spacing w:before="240" w:after="240"/>
        <w:ind w:firstLine="640" w:firstLineChars="200"/>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赤峰市强制隔离戒毒所 截至202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年12月31日，本部门（单位）共有车辆 </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辆，其中：副部（省）级及以上领导用车0 辆、主要负责人用车 0辆、机要通信用车 1辆、应急保障用车 0辆、执法执勤用车</w:t>
      </w:r>
      <w:r>
        <w:rPr>
          <w:rFonts w:hint="eastAsia" w:ascii="仿宋_GB2312" w:hAnsi="仿宋_GB2312" w:eastAsia="仿宋_GB2312" w:cs="仿宋_GB2312"/>
          <w:kern w:val="0"/>
          <w:sz w:val="32"/>
          <w:szCs w:val="32"/>
          <w:u w:val="none"/>
          <w:lang w:val="en-US" w:eastAsia="zh-CN"/>
        </w:rPr>
        <w:t>3</w:t>
      </w:r>
      <w:r>
        <w:rPr>
          <w:rFonts w:hint="eastAsia" w:ascii="仿宋_GB2312" w:hAnsi="仿宋_GB2312" w:eastAsia="仿宋_GB2312" w:cs="仿宋_GB2312"/>
          <w:kern w:val="0"/>
          <w:sz w:val="32"/>
          <w:szCs w:val="32"/>
          <w:u w:val="none"/>
        </w:rPr>
        <w:t>辆、特种专业技术用车 0辆、离退休干部服务用车 1辆，其他用车 0辆；单价100万元（含）以上的设备（不含车辆） 0台（套）。</w:t>
      </w:r>
    </w:p>
    <w:p w14:paraId="29433769">
      <w:pPr>
        <w:widowControl/>
        <w:numPr>
          <w:ilvl w:val="0"/>
          <w:numId w:val="3"/>
        </w:numPr>
        <w:spacing w:before="240" w:after="240"/>
        <w:ind w:firstLine="643" w:firstLineChars="200"/>
        <w:rPr>
          <w:rFonts w:hint="eastAsia" w:ascii="黑体" w:hAnsi="黑体" w:eastAsia="黑体" w:cs="黑体"/>
          <w:b/>
          <w:bCs/>
          <w:kern w:val="0"/>
          <w:sz w:val="32"/>
          <w:szCs w:val="32"/>
          <w:lang w:val="en-US" w:eastAsia="zh-CN" w:bidi="ar-SA"/>
        </w:rPr>
      </w:pPr>
      <w:r>
        <w:rPr>
          <w:rFonts w:hint="eastAsia" w:ascii="黑体" w:hAnsi="黑体" w:eastAsia="黑体" w:cs="黑体"/>
          <w:b/>
          <w:bCs/>
          <w:kern w:val="0"/>
          <w:sz w:val="32"/>
          <w:szCs w:val="32"/>
          <w:lang w:val="en-US" w:eastAsia="zh-CN" w:bidi="ar-SA"/>
        </w:rPr>
        <w:t>预算绩效情况说明</w:t>
      </w:r>
    </w:p>
    <w:p w14:paraId="0EE9784A">
      <w:pPr>
        <w:widowControl/>
        <w:numPr>
          <w:ilvl w:val="0"/>
          <w:numId w:val="0"/>
        </w:numPr>
        <w:spacing w:before="240" w:after="240"/>
        <w:ind w:firstLine="643" w:firstLineChars="200"/>
        <w:rPr>
          <w:rFonts w:hint="eastAsia" w:ascii="楷体" w:hAnsi="楷体" w:eastAsia="楷体" w:cs="楷体"/>
          <w:b/>
          <w:bCs/>
          <w:kern w:val="0"/>
          <w:sz w:val="32"/>
          <w:szCs w:val="32"/>
          <w:lang w:val="en-US" w:eastAsia="zh-CN" w:bidi="ar-SA"/>
        </w:rPr>
      </w:pPr>
      <w:r>
        <w:rPr>
          <w:rFonts w:hint="eastAsia" w:ascii="楷体" w:hAnsi="楷体" w:eastAsia="楷体" w:cs="楷体"/>
          <w:b/>
          <w:bCs/>
          <w:kern w:val="0"/>
          <w:sz w:val="32"/>
          <w:szCs w:val="32"/>
          <w:lang w:val="en-US" w:eastAsia="zh-CN" w:bidi="ar-SA"/>
        </w:rPr>
        <w:t>（一）预算绩效管理工作开展情况。</w:t>
      </w:r>
    </w:p>
    <w:p w14:paraId="6541BBA3">
      <w:pPr>
        <w:pStyle w:val="33"/>
        <w:pageBreakBefore w:val="0"/>
        <w:widowControl/>
        <w:kinsoku/>
        <w:wordWrap/>
        <w:overflowPunct/>
        <w:topLinePunct w:val="0"/>
        <w:autoSpaceDE/>
        <w:autoSpaceDN/>
        <w:bidi w:val="0"/>
        <w:spacing w:line="580" w:lineRule="exact"/>
        <w:ind w:left="0" w:leftChars="0" w:firstLine="64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rPr>
        <w:t>赤峰市强制隔离戒毒所 根据预算绩效管理要求组织对202</w:t>
      </w:r>
      <w:r>
        <w:rPr>
          <w:rFonts w:hint="eastAsia" w:ascii="仿宋_GB2312" w:hAnsi="仿宋_GB2312" w:eastAsia="仿宋_GB2312" w:cs="仿宋_GB2312"/>
          <w:kern w:val="0"/>
          <w:sz w:val="32"/>
          <w:szCs w:val="32"/>
          <w:u w:val="none"/>
          <w:lang w:val="en-US" w:eastAsia="zh-CN"/>
        </w:rPr>
        <w:t>5</w:t>
      </w:r>
      <w:r>
        <w:rPr>
          <w:rFonts w:hint="eastAsia" w:ascii="仿宋_GB2312" w:hAnsi="仿宋_GB2312" w:eastAsia="仿宋_GB2312" w:cs="仿宋_GB2312"/>
          <w:kern w:val="0"/>
          <w:sz w:val="32"/>
          <w:szCs w:val="32"/>
          <w:u w:val="none"/>
        </w:rPr>
        <w:t>年一般公共预算项目支出全面开展绩效自评，其中一级项目</w:t>
      </w:r>
      <w:r>
        <w:rPr>
          <w:rFonts w:hint="eastAsia" w:ascii="仿宋_GB2312" w:hAnsi="仿宋_GB2312" w:eastAsia="仿宋_GB2312" w:cs="仿宋_GB2312"/>
          <w:kern w:val="0"/>
          <w:sz w:val="32"/>
          <w:szCs w:val="32"/>
          <w:u w:val="none"/>
          <w:lang w:val="en-US" w:eastAsia="zh-CN"/>
        </w:rPr>
        <w:t>2</w:t>
      </w:r>
      <w:r>
        <w:rPr>
          <w:rFonts w:hint="eastAsia" w:ascii="仿宋_GB2312" w:hAnsi="仿宋_GB2312" w:eastAsia="仿宋_GB2312" w:cs="仿宋_GB2312"/>
          <w:kern w:val="0"/>
          <w:sz w:val="32"/>
          <w:szCs w:val="32"/>
          <w:u w:val="none"/>
        </w:rPr>
        <w:t>个，二级项目</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34.63</w:t>
      </w:r>
      <w:r>
        <w:rPr>
          <w:rFonts w:hint="eastAsia" w:ascii="仿宋_GB2312" w:hAnsi="仿宋_GB2312" w:eastAsia="仿宋_GB2312" w:cs="仿宋_GB2312"/>
          <w:kern w:val="0"/>
          <w:sz w:val="32"/>
          <w:szCs w:val="32"/>
          <w:u w:val="none"/>
        </w:rPr>
        <w:t>万元，占一般公共预算项目支出总额的100%；政府性基金预算项目</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个，其中，一级项目 </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 个，二级项目</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个，共涉及资金</w:t>
      </w:r>
      <w:r>
        <w:rPr>
          <w:rFonts w:hint="eastAsia" w:ascii="仿宋_GB2312" w:hAnsi="仿宋_GB2312" w:eastAsia="仿宋_GB2312" w:cs="仿宋_GB2312"/>
          <w:kern w:val="0"/>
          <w:sz w:val="32"/>
          <w:szCs w:val="32"/>
          <w:u w:val="none"/>
          <w:lang w:val="en-US" w:eastAsia="zh-CN"/>
        </w:rPr>
        <w:t>0</w:t>
      </w:r>
      <w:r>
        <w:rPr>
          <w:rFonts w:hint="eastAsia" w:ascii="仿宋_GB2312" w:hAnsi="仿宋_GB2312" w:eastAsia="仿宋_GB2312" w:cs="仿宋_GB2312"/>
          <w:kern w:val="0"/>
          <w:sz w:val="32"/>
          <w:szCs w:val="32"/>
          <w:u w:val="none"/>
        </w:rPr>
        <w:t>万元，占应纳入绩效自评的政府性基金预算项目支出总额的100%。</w:t>
      </w:r>
    </w:p>
    <w:p w14:paraId="12A0ADDF">
      <w:pPr>
        <w:pStyle w:val="33"/>
        <w:pageBreakBefore w:val="0"/>
        <w:widowControl/>
        <w:kinsoku/>
        <w:wordWrap/>
        <w:overflowPunct/>
        <w:topLinePunct w:val="0"/>
        <w:autoSpaceDE/>
        <w:autoSpaceDN/>
        <w:bidi w:val="0"/>
        <w:spacing w:line="580" w:lineRule="exact"/>
        <w:ind w:left="0" w:leftChars="0" w:firstLine="640"/>
        <w:jc w:val="left"/>
        <w:textAlignment w:val="auto"/>
        <w:rPr>
          <w:rFonts w:hint="eastAsia" w:ascii="仿宋_GB2312" w:hAnsi="仿宋_GB2312" w:eastAsia="仿宋_GB2312" w:cs="仿宋_GB2312"/>
          <w:kern w:val="0"/>
          <w:sz w:val="32"/>
          <w:szCs w:val="32"/>
          <w:u w:val="none"/>
        </w:rPr>
      </w:pPr>
      <w:r>
        <w:rPr>
          <w:rFonts w:hint="eastAsia" w:ascii="仿宋_GB2312" w:hAnsi="仿宋_GB2312" w:eastAsia="仿宋_GB2312" w:cs="仿宋_GB2312"/>
          <w:kern w:val="0"/>
          <w:sz w:val="32"/>
          <w:szCs w:val="32"/>
          <w:u w:val="none"/>
          <w:lang w:eastAsia="zh-CN"/>
        </w:rPr>
        <w:t>本单位不涉及部门绩效评价。</w:t>
      </w:r>
    </w:p>
    <w:p w14:paraId="7FDF7A8F">
      <w:pPr>
        <w:pStyle w:val="32"/>
        <w:pageBreakBefore w:val="0"/>
        <w:widowControl/>
        <w:kinsoku/>
        <w:wordWrap/>
        <w:overflowPunct/>
        <w:topLinePunct w:val="0"/>
        <w:autoSpaceDE/>
        <w:autoSpaceDN/>
        <w:bidi w:val="0"/>
        <w:spacing w:line="580" w:lineRule="exact"/>
        <w:ind w:left="0" w:leftChars="0" w:firstLine="643"/>
        <w:jc w:val="left"/>
        <w:textAlignment w:val="auto"/>
        <w:rPr>
          <w:rFonts w:hint="eastAsia" w:ascii="楷体" w:hAnsi="楷体" w:eastAsia="楷体" w:cs="楷体"/>
          <w:b/>
          <w:bCs/>
          <w:kern w:val="0"/>
          <w:sz w:val="32"/>
          <w:szCs w:val="32"/>
          <w:u w:val="none"/>
        </w:rPr>
      </w:pPr>
      <w:r>
        <w:rPr>
          <w:rFonts w:hint="eastAsia" w:ascii="楷体" w:hAnsi="楷体" w:eastAsia="楷体" w:cs="楷体"/>
          <w:b/>
          <w:bCs/>
          <w:kern w:val="0"/>
          <w:sz w:val="32"/>
          <w:szCs w:val="32"/>
          <w:u w:val="none"/>
          <w:lang w:eastAsia="zh-CN"/>
        </w:rPr>
        <w:t>（</w:t>
      </w:r>
      <w:r>
        <w:rPr>
          <w:rFonts w:hint="eastAsia" w:ascii="楷体" w:hAnsi="楷体" w:eastAsia="楷体" w:cs="楷体"/>
          <w:b/>
          <w:bCs/>
          <w:kern w:val="0"/>
          <w:sz w:val="32"/>
          <w:szCs w:val="32"/>
          <w:u w:val="none"/>
          <w:lang w:val="en-US" w:eastAsia="zh-CN"/>
        </w:rPr>
        <w:t>二）</w:t>
      </w:r>
      <w:r>
        <w:rPr>
          <w:rFonts w:hint="eastAsia" w:ascii="楷体" w:hAnsi="楷体" w:eastAsia="楷体" w:cs="楷体"/>
          <w:b/>
          <w:bCs/>
          <w:kern w:val="0"/>
          <w:sz w:val="32"/>
          <w:szCs w:val="32"/>
          <w:u w:val="none"/>
        </w:rPr>
        <w:t>部门（单位）决算中项目绩效自评结果。</w:t>
      </w:r>
    </w:p>
    <w:p w14:paraId="38F5717D">
      <w:pPr>
        <w:pStyle w:val="33"/>
        <w:pageBreakBefore w:val="0"/>
        <w:widowControl/>
        <w:kinsoku/>
        <w:wordWrap/>
        <w:overflowPunct/>
        <w:topLinePunct w:val="0"/>
        <w:autoSpaceDE/>
        <w:autoSpaceDN/>
        <w:bidi w:val="0"/>
        <w:spacing w:line="580" w:lineRule="exact"/>
        <w:ind w:firstLine="640" w:firstLineChars="200"/>
        <w:jc w:val="left"/>
        <w:textAlignment w:val="auto"/>
        <w:rPr>
          <w:rFonts w:hint="default" w:ascii="仿宋_GB2312" w:hAnsi="仿宋_GB2312" w:eastAsia="仿宋_GB2312" w:cs="仿宋_GB2312"/>
          <w:color w:val="auto"/>
          <w:kern w:val="2"/>
          <w:sz w:val="32"/>
          <w:szCs w:val="32"/>
          <w:u w:val="none"/>
          <w:lang w:val="en-US" w:eastAsia="zh-CN"/>
        </w:rPr>
      </w:pPr>
      <w:r>
        <w:rPr>
          <w:rFonts w:hint="eastAsia" w:ascii="仿宋_GB2312" w:hAnsi="仿宋_GB2312" w:eastAsia="仿宋_GB2312" w:cs="仿宋_GB2312"/>
          <w:color w:val="auto"/>
          <w:kern w:val="2"/>
          <w:sz w:val="32"/>
          <w:szCs w:val="32"/>
          <w:u w:val="none"/>
        </w:rPr>
        <w:t>赤峰市强制隔离戒毒所单位</w:t>
      </w:r>
      <w:r>
        <w:rPr>
          <w:rFonts w:hint="eastAsia" w:ascii="仿宋_GB2312" w:hAnsi="仿宋_GB2312" w:eastAsia="仿宋_GB2312" w:cs="仿宋_GB2312"/>
          <w:color w:val="auto"/>
          <w:kern w:val="2"/>
          <w:sz w:val="32"/>
          <w:szCs w:val="32"/>
          <w:u w:val="none"/>
          <w:lang w:val="en-US" w:eastAsia="zh-CN"/>
        </w:rPr>
        <w:t>2025</w:t>
      </w:r>
      <w:r>
        <w:rPr>
          <w:rFonts w:hint="eastAsia" w:ascii="仿宋_GB2312" w:hAnsi="仿宋_GB2312" w:eastAsia="仿宋_GB2312" w:cs="仿宋_GB2312"/>
          <w:color w:val="auto"/>
          <w:kern w:val="2"/>
          <w:sz w:val="32"/>
          <w:szCs w:val="32"/>
          <w:u w:val="none"/>
        </w:rPr>
        <w:t>年度在决算中反映“</w:t>
      </w:r>
      <w:r>
        <w:rPr>
          <w:rFonts w:hint="eastAsia" w:ascii="仿宋_GB2312" w:hAnsi="仿宋_GB2312" w:eastAsia="仿宋_GB2312" w:cs="仿宋_GB2312"/>
          <w:color w:val="auto"/>
          <w:kern w:val="2"/>
          <w:sz w:val="32"/>
          <w:szCs w:val="32"/>
          <w:u w:val="none"/>
          <w:lang w:eastAsia="zh-CN"/>
        </w:rPr>
        <w:t>对口援疆补助经费</w:t>
      </w:r>
      <w:r>
        <w:rPr>
          <w:rFonts w:hint="eastAsia" w:ascii="仿宋_GB2312" w:hAnsi="仿宋_GB2312" w:eastAsia="仿宋_GB2312" w:cs="仿宋_GB2312"/>
          <w:color w:val="auto"/>
          <w:kern w:val="2"/>
          <w:sz w:val="32"/>
          <w:szCs w:val="32"/>
          <w:u w:val="none"/>
        </w:rPr>
        <w:t>项目”、</w:t>
      </w:r>
      <w:r>
        <w:rPr>
          <w:rFonts w:hint="eastAsia" w:ascii="仿宋_GB2312" w:hAnsi="仿宋_GB2312" w:eastAsia="仿宋_GB2312" w:cs="仿宋_GB2312"/>
          <w:color w:val="auto"/>
          <w:kern w:val="2"/>
          <w:sz w:val="32"/>
          <w:szCs w:val="32"/>
          <w:u w:val="none"/>
          <w:lang w:eastAsia="zh-CN"/>
        </w:rPr>
        <w:t>“</w:t>
      </w:r>
      <w:r>
        <w:rPr>
          <w:rFonts w:hint="eastAsia" w:ascii="仿宋_GB2312" w:hAnsi="仿宋_GB2312" w:eastAsia="仿宋_GB2312" w:cs="仿宋_GB2312"/>
          <w:color w:val="auto"/>
          <w:kern w:val="2"/>
          <w:sz w:val="32"/>
          <w:szCs w:val="32"/>
          <w:u w:val="none"/>
          <w:lang w:val="en-US" w:eastAsia="zh-CN"/>
        </w:rPr>
        <w:t>对口援疆补助经费项目</w:t>
      </w:r>
      <w:r>
        <w:rPr>
          <w:rFonts w:hint="eastAsia" w:ascii="仿宋_GB2312" w:hAnsi="仿宋_GB2312" w:eastAsia="仿宋_GB2312" w:cs="仿宋_GB2312"/>
          <w:color w:val="auto"/>
          <w:kern w:val="2"/>
          <w:sz w:val="32"/>
          <w:szCs w:val="32"/>
          <w:u w:val="none"/>
          <w:lang w:eastAsia="zh-CN"/>
        </w:rPr>
        <w:t>”</w:t>
      </w:r>
      <w:r>
        <w:rPr>
          <w:rFonts w:hint="eastAsia" w:ascii="仿宋_GB2312" w:hAnsi="仿宋_GB2312" w:eastAsia="仿宋_GB2312" w:cs="仿宋_GB2312"/>
          <w:color w:val="auto"/>
          <w:kern w:val="2"/>
          <w:sz w:val="32"/>
          <w:szCs w:val="32"/>
          <w:u w:val="none"/>
          <w:lang w:val="en-US" w:eastAsia="zh-CN"/>
        </w:rPr>
        <w:t>2</w:t>
      </w:r>
      <w:r>
        <w:rPr>
          <w:rFonts w:hint="eastAsia" w:ascii="仿宋_GB2312" w:hAnsi="仿宋_GB2312" w:eastAsia="仿宋_GB2312" w:cs="仿宋_GB2312"/>
          <w:color w:val="auto"/>
          <w:kern w:val="2"/>
          <w:sz w:val="32"/>
          <w:szCs w:val="32"/>
          <w:u w:val="none"/>
        </w:rPr>
        <w:t>个一般公共预算项目，共</w:t>
      </w:r>
      <w:r>
        <w:rPr>
          <w:rFonts w:hint="eastAsia" w:ascii="仿宋_GB2312" w:hAnsi="仿宋_GB2312" w:eastAsia="仿宋_GB2312" w:cs="仿宋_GB2312"/>
          <w:color w:val="auto"/>
          <w:kern w:val="2"/>
          <w:sz w:val="32"/>
          <w:szCs w:val="32"/>
          <w:u w:val="none"/>
          <w:lang w:eastAsia="en-US"/>
        </w:rPr>
        <w:t> </w:t>
      </w:r>
      <w:r>
        <w:rPr>
          <w:rFonts w:hint="eastAsia" w:ascii="仿宋_GB2312" w:hAnsi="仿宋_GB2312" w:eastAsia="仿宋_GB2312" w:cs="仿宋_GB2312"/>
          <w:color w:val="auto"/>
          <w:kern w:val="2"/>
          <w:sz w:val="32"/>
          <w:szCs w:val="32"/>
          <w:u w:val="none"/>
          <w:lang w:val="en-US" w:eastAsia="zh-CN"/>
        </w:rPr>
        <w:t>0</w:t>
      </w:r>
      <w:r>
        <w:rPr>
          <w:rFonts w:hint="eastAsia" w:ascii="仿宋_GB2312" w:hAnsi="仿宋_GB2312" w:eastAsia="仿宋_GB2312" w:cs="仿宋_GB2312"/>
          <w:color w:val="auto"/>
          <w:kern w:val="2"/>
          <w:sz w:val="32"/>
          <w:szCs w:val="32"/>
          <w:u w:val="none"/>
        </w:rPr>
        <w:t>个项目的绩效自评结果</w:t>
      </w:r>
      <w:r>
        <w:rPr>
          <w:rFonts w:hint="eastAsia" w:ascii="仿宋_GB2312" w:hAnsi="仿宋_GB2312" w:eastAsia="仿宋_GB2312" w:cs="仿宋_GB2312"/>
          <w:color w:val="auto"/>
          <w:kern w:val="2"/>
          <w:sz w:val="32"/>
          <w:szCs w:val="32"/>
          <w:u w:val="none"/>
          <w:lang w:eastAsia="zh-CN"/>
        </w:rPr>
        <w:t>，</w:t>
      </w:r>
      <w:r>
        <w:rPr>
          <w:rFonts w:hint="eastAsia" w:ascii="仿宋_GB2312" w:hAnsi="仿宋_GB2312" w:eastAsia="仿宋_GB2312" w:cs="仿宋_GB2312"/>
          <w:color w:val="auto"/>
          <w:kern w:val="2"/>
          <w:sz w:val="32"/>
          <w:szCs w:val="32"/>
          <w:u w:val="none"/>
          <w:lang w:val="en-US" w:eastAsia="zh-CN"/>
        </w:rPr>
        <w:t>该两个项目为涉密项目，不需要绩效自评。</w:t>
      </w:r>
    </w:p>
    <w:p w14:paraId="08514260">
      <w:pPr>
        <w:widowControl/>
        <w:spacing w:before="240" w:after="240"/>
        <w:jc w:val="left"/>
        <w:rPr>
          <w:rFonts w:hint="eastAsia" w:ascii="楷体" w:hAnsi="楷体" w:eastAsia="楷体" w:cs="楷体"/>
          <w:b/>
          <w:bCs/>
          <w:kern w:val="0"/>
          <w:sz w:val="32"/>
          <w:szCs w:val="32"/>
          <w:lang w:val="en-US" w:eastAsia="zh-CN" w:bidi="ar-SA"/>
        </w:rPr>
      </w:pPr>
      <w:r>
        <w:rPr>
          <w:rFonts w:ascii="kai_ti_gb2312" w:hAnsi="kai_ti_gb2312" w:eastAsia="kai_ti_gb2312" w:cs="kai_ti_gb2312"/>
          <w:b/>
          <w:bCs/>
          <w:kern w:val="0"/>
          <w:sz w:val="28"/>
          <w:szCs w:val="28"/>
        </w:rPr>
        <w:t xml:space="preserve">    </w:t>
      </w:r>
      <w:r>
        <w:rPr>
          <w:rFonts w:hint="eastAsia" w:ascii="楷体" w:hAnsi="楷体" w:eastAsia="楷体" w:cs="楷体"/>
          <w:b/>
          <w:bCs/>
          <w:kern w:val="0"/>
          <w:sz w:val="32"/>
          <w:szCs w:val="32"/>
          <w:lang w:val="en-US" w:eastAsia="zh-CN" w:bidi="ar-SA"/>
        </w:rPr>
        <w:t>（三）部门项目绩效评价结果。</w:t>
      </w:r>
    </w:p>
    <w:p w14:paraId="046C3D18">
      <w:pPr>
        <w:pStyle w:val="21"/>
        <w:rPr>
          <w:rFonts w:hint="eastAsia" w:ascii="仿宋" w:hAnsi="仿宋" w:eastAsia="仿宋" w:cs="仿宋"/>
          <w:kern w:val="0"/>
          <w:sz w:val="28"/>
          <w:szCs w:val="28"/>
          <w:u w:val="none"/>
        </w:rPr>
      </w:pPr>
      <w:r>
        <w:rPr>
          <w:rFonts w:hint="eastAsia" w:ascii="Times New Roman" w:hAnsi="Times New Roman" w:eastAsia="仿宋_GB2312" w:cs="仿宋"/>
          <w:b w:val="0"/>
          <w:bCs w:val="0"/>
          <w:kern w:val="2"/>
          <w:sz w:val="32"/>
          <w:szCs w:val="32"/>
          <w:highlight w:val="none"/>
          <w:lang w:val="en-US" w:eastAsia="zh-CN" w:bidi="ar-SA"/>
        </w:rPr>
        <w:t>无。</w:t>
      </w:r>
    </w:p>
    <w:p w14:paraId="7AEF1D9C">
      <w:pPr>
        <w:pStyle w:val="3"/>
        <w:keepNext w:val="0"/>
        <w:keepLines w:val="0"/>
        <w:pageBreakBefore w:val="0"/>
        <w:widowControl/>
        <w:kinsoku/>
        <w:wordWrap/>
        <w:overflowPunct/>
        <w:topLinePunct w:val="0"/>
        <w:autoSpaceDE/>
        <w:autoSpaceDN/>
        <w:bidi w:val="0"/>
        <w:spacing w:before="0" w:after="0" w:line="580" w:lineRule="exact"/>
        <w:ind w:left="0" w:leftChars="0"/>
        <w:jc w:val="center"/>
        <w:textAlignment w:val="auto"/>
        <w:rPr>
          <w:rFonts w:hint="eastAsia" w:ascii="方正小标宋简体" w:hAnsi="方正小标宋简体" w:eastAsia="方正小标宋简体" w:cs="方正小标宋简体"/>
          <w:b w:val="0"/>
          <w:bCs w:val="0"/>
          <w:kern w:val="0"/>
          <w:sz w:val="36"/>
          <w:szCs w:val="36"/>
        </w:rPr>
      </w:pPr>
    </w:p>
    <w:p w14:paraId="6C1D3651">
      <w:pPr>
        <w:rPr>
          <w:rFonts w:hint="eastAsia" w:ascii="方正小标宋简体" w:hAnsi="方正小标宋简体" w:eastAsia="方正小标宋简体" w:cs="方正小标宋简体"/>
          <w:b w:val="0"/>
          <w:bCs w:val="0"/>
          <w:kern w:val="0"/>
          <w:sz w:val="36"/>
          <w:szCs w:val="36"/>
        </w:rPr>
      </w:pPr>
    </w:p>
    <w:p w14:paraId="1EA28D68">
      <w:pPr>
        <w:pStyle w:val="21"/>
        <w:ind w:left="0" w:leftChars="0" w:firstLine="0" w:firstLineChars="0"/>
        <w:rPr>
          <w:rFonts w:hint="eastAsia" w:ascii="方正小标宋简体" w:hAnsi="方正小标宋简体" w:eastAsia="方正小标宋简体" w:cs="方正小标宋简体"/>
          <w:b w:val="0"/>
          <w:bCs w:val="0"/>
          <w:kern w:val="0"/>
          <w:sz w:val="36"/>
          <w:szCs w:val="36"/>
        </w:rPr>
      </w:pPr>
    </w:p>
    <w:p w14:paraId="0503077A">
      <w:pPr>
        <w:pStyle w:val="21"/>
        <w:rPr>
          <w:rFonts w:hint="eastAsia" w:ascii="方正小标宋简体" w:hAnsi="方正小标宋简体" w:eastAsia="方正小标宋简体" w:cs="方正小标宋简体"/>
          <w:b w:val="0"/>
          <w:bCs w:val="0"/>
          <w:kern w:val="0"/>
          <w:sz w:val="36"/>
          <w:szCs w:val="36"/>
        </w:rPr>
      </w:pPr>
    </w:p>
    <w:p w14:paraId="3DE24F00">
      <w:pPr>
        <w:pStyle w:val="21"/>
        <w:rPr>
          <w:rFonts w:hint="eastAsia" w:ascii="方正小标宋简体" w:hAnsi="方正小标宋简体" w:eastAsia="方正小标宋简体" w:cs="方正小标宋简体"/>
          <w:b w:val="0"/>
          <w:bCs w:val="0"/>
          <w:kern w:val="0"/>
          <w:sz w:val="36"/>
          <w:szCs w:val="36"/>
        </w:rPr>
      </w:pPr>
    </w:p>
    <w:p w14:paraId="712C2121">
      <w:pPr>
        <w:pStyle w:val="21"/>
        <w:rPr>
          <w:rFonts w:hint="eastAsia" w:ascii="方正小标宋简体" w:hAnsi="方正小标宋简体" w:eastAsia="方正小标宋简体" w:cs="方正小标宋简体"/>
          <w:b w:val="0"/>
          <w:bCs w:val="0"/>
          <w:kern w:val="0"/>
          <w:sz w:val="36"/>
          <w:szCs w:val="36"/>
        </w:rPr>
      </w:pPr>
    </w:p>
    <w:p w14:paraId="1AE0B21F">
      <w:pPr>
        <w:pStyle w:val="21"/>
        <w:ind w:left="0" w:leftChars="0" w:firstLine="0" w:firstLineChars="0"/>
        <w:rPr>
          <w:rFonts w:hint="eastAsia" w:ascii="方正小标宋简体" w:hAnsi="方正小标宋简体" w:eastAsia="方正小标宋简体" w:cs="方正小标宋简体"/>
          <w:b w:val="0"/>
          <w:bCs w:val="0"/>
          <w:kern w:val="0"/>
          <w:sz w:val="36"/>
          <w:szCs w:val="36"/>
        </w:rPr>
      </w:pPr>
    </w:p>
    <w:p w14:paraId="77357E42">
      <w:pPr>
        <w:pStyle w:val="3"/>
        <w:keepNext w:val="0"/>
        <w:keepLines w:val="0"/>
        <w:pageBreakBefore w:val="0"/>
        <w:widowControl/>
        <w:kinsoku/>
        <w:wordWrap/>
        <w:overflowPunct/>
        <w:topLinePunct w:val="0"/>
        <w:autoSpaceDE/>
        <w:autoSpaceDN/>
        <w:bidi w:val="0"/>
        <w:spacing w:before="0" w:after="0" w:line="580" w:lineRule="exact"/>
        <w:ind w:left="0" w:leftChars="0"/>
        <w:jc w:val="center"/>
        <w:textAlignment w:val="auto"/>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第三部分 名词解释</w:t>
      </w:r>
    </w:p>
    <w:p w14:paraId="68266489">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ascii="Calibri" w:hAnsi="Calibri" w:eastAsia="Calibri" w:cs="Calibri"/>
          <w:b/>
          <w:bCs/>
          <w:kern w:val="0"/>
          <w:sz w:val="28"/>
          <w:szCs w:val="28"/>
        </w:rPr>
        <w:t> </w:t>
      </w:r>
      <w:r>
        <w:rPr>
          <w:rFonts w:hint="eastAsia" w:ascii="Calibri" w:hAnsi="Calibri" w:eastAsia="宋体" w:cs="Calibri"/>
          <w:b/>
          <w:bCs/>
          <w:kern w:val="0"/>
          <w:sz w:val="28"/>
          <w:szCs w:val="28"/>
          <w:lang w:val="en-US" w:eastAsia="zh-CN"/>
        </w:rPr>
        <w:t xml:space="preserve">    </w:t>
      </w:r>
      <w:r>
        <w:rPr>
          <w:rFonts w:hint="eastAsia" w:ascii="黑体" w:hAnsi="黑体" w:eastAsia="黑体" w:cs="黑体"/>
          <w:b/>
          <w:bCs/>
          <w:kern w:val="0"/>
          <w:sz w:val="32"/>
          <w:szCs w:val="32"/>
        </w:rPr>
        <w:t>一、财政拨款收入：</w:t>
      </w:r>
      <w:r>
        <w:rPr>
          <w:rFonts w:hint="eastAsia" w:ascii="仿宋_GB2312" w:hAnsi="仿宋_GB2312" w:eastAsia="仿宋_GB2312" w:cs="仿宋_GB2312"/>
          <w:kern w:val="0"/>
          <w:sz w:val="32"/>
          <w:szCs w:val="32"/>
        </w:rPr>
        <w:t>从同级财政部门取得的各类财政拨款，包括一般公共预算财政拨款、政府性基金预算财政拨款、国有资本经营预算财政拨款。</w:t>
      </w:r>
    </w:p>
    <w:p w14:paraId="70A7BC75">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rPr>
        <w:t>二、上级补助收入：</w:t>
      </w:r>
      <w:r>
        <w:rPr>
          <w:rFonts w:hint="eastAsia" w:ascii="仿宋_GB2312" w:hAnsi="仿宋_GB2312" w:eastAsia="仿宋_GB2312" w:cs="仿宋_GB2312"/>
          <w:kern w:val="0"/>
          <w:sz w:val="32"/>
          <w:szCs w:val="32"/>
        </w:rPr>
        <w:t>指事业单位从主管部门和上级单位取得的非财政补助收入。</w:t>
      </w:r>
    </w:p>
    <w:p w14:paraId="1238DF6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rPr>
        <w:t>三、财政专户管理教育收费：</w:t>
      </w:r>
      <w:r>
        <w:rPr>
          <w:rFonts w:hint="eastAsia" w:ascii="仿宋_GB2312" w:hAnsi="仿宋_GB2312" w:eastAsia="仿宋_GB2312" w:cs="仿宋_GB2312"/>
          <w:kern w:val="0"/>
          <w:sz w:val="32"/>
          <w:szCs w:val="32"/>
        </w:rPr>
        <w:t>指缴入财政专户、实行专项管理的高中以上学费、住宿费、高校委托培养费、函大、电大、夜大及短训班培训费等教育收费。</w:t>
      </w:r>
    </w:p>
    <w:p w14:paraId="5AF792FF">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rPr>
        <w:t>四、事业收入：</w:t>
      </w:r>
      <w:r>
        <w:rPr>
          <w:rFonts w:hint="eastAsia" w:ascii="仿宋_GB2312" w:hAnsi="仿宋_GB2312" w:eastAsia="仿宋_GB2312" w:cs="仿宋_GB2312"/>
          <w:kern w:val="0"/>
          <w:sz w:val="32"/>
          <w:szCs w:val="32"/>
        </w:rPr>
        <w:t>指事业单位开展专业业务活动及其辅助活动取得的收入。</w:t>
      </w:r>
    </w:p>
    <w:p w14:paraId="4781E171">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rPr>
        <w:t>五、经营收入：</w:t>
      </w:r>
      <w:r>
        <w:rPr>
          <w:rFonts w:hint="eastAsia" w:ascii="仿宋_GB2312" w:hAnsi="仿宋_GB2312" w:eastAsia="仿宋_GB2312" w:cs="仿宋_GB2312"/>
          <w:kern w:val="0"/>
          <w:sz w:val="32"/>
          <w:szCs w:val="32"/>
        </w:rPr>
        <w:t>指事业单位在专业业务活动及其辅助活动之外开展非独立核算经营活动取得的收入。</w:t>
      </w:r>
    </w:p>
    <w:p w14:paraId="117B9318">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rPr>
        <w:t>六、附属单位上缴收入：</w:t>
      </w:r>
      <w:r>
        <w:rPr>
          <w:rFonts w:hint="eastAsia" w:ascii="仿宋_GB2312" w:hAnsi="仿宋_GB2312" w:eastAsia="仿宋_GB2312" w:cs="仿宋_GB2312"/>
          <w:kern w:val="0"/>
          <w:sz w:val="32"/>
          <w:szCs w:val="32"/>
        </w:rPr>
        <w:t>指事业单位取得附属独立核算单位按照有关规定上缴的收入。</w:t>
      </w:r>
    </w:p>
    <w:p w14:paraId="047B6BA6">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lang w:val="en-US" w:eastAsia="zh-CN"/>
        </w:rPr>
        <w:t xml:space="preserve"> </w:t>
      </w:r>
      <w:r>
        <w:rPr>
          <w:rFonts w:hint="eastAsia" w:ascii="黑体" w:hAnsi="黑体" w:eastAsia="黑体" w:cs="黑体"/>
          <w:b/>
          <w:bCs/>
          <w:kern w:val="0"/>
          <w:sz w:val="32"/>
          <w:szCs w:val="32"/>
        </w:rPr>
        <w:t>七、其他收入：</w:t>
      </w:r>
      <w:r>
        <w:rPr>
          <w:rFonts w:hint="eastAsia" w:ascii="仿宋_GB2312" w:hAnsi="仿宋_GB2312" w:eastAsia="仿宋_GB2312" w:cs="仿宋_GB2312"/>
          <w:kern w:val="0"/>
          <w:sz w:val="32"/>
          <w:szCs w:val="32"/>
        </w:rPr>
        <w:t>取得的除上述财政拨款收入、上级补助收入、事业收入、经营收入、附属单位上缴收入等以外的各项收入。</w:t>
      </w:r>
    </w:p>
    <w:p w14:paraId="14EB851B">
      <w:pPr>
        <w:pageBreakBefore w:val="0"/>
        <w:widowControl/>
        <w:kinsoku/>
        <w:wordWrap/>
        <w:overflowPunct/>
        <w:topLinePunct w:val="0"/>
        <w:autoSpaceDE/>
        <w:autoSpaceDN/>
        <w:bidi w:val="0"/>
        <w:spacing w:line="580" w:lineRule="exact"/>
        <w:ind w:firstLine="643" w:firstLineChars="200"/>
        <w:jc w:val="left"/>
        <w:textAlignment w:val="auto"/>
        <w:rPr>
          <w:rFonts w:hint="eastAsia" w:ascii="仿宋_GB2312" w:hAnsi="仿宋_GB2312" w:eastAsia="仿宋_GB2312" w:cs="仿宋_GB2312"/>
          <w:kern w:val="0"/>
          <w:sz w:val="32"/>
          <w:szCs w:val="32"/>
        </w:rPr>
      </w:pPr>
      <w:r>
        <w:rPr>
          <w:rFonts w:hint="eastAsia" w:ascii="黑体" w:hAnsi="黑体" w:eastAsia="黑体" w:cs="黑体"/>
          <w:b/>
          <w:bCs/>
          <w:kern w:val="0"/>
          <w:sz w:val="32"/>
          <w:szCs w:val="32"/>
        </w:rPr>
        <w:t>八、使用非财政拨款结余（含专用结余）：</w:t>
      </w:r>
      <w:r>
        <w:rPr>
          <w:rFonts w:hint="eastAsia" w:ascii="仿宋_GB2312" w:hAnsi="仿宋_GB2312" w:eastAsia="仿宋_GB2312" w:cs="仿宋_GB2312"/>
          <w:kern w:val="0"/>
          <w:sz w:val="32"/>
          <w:szCs w:val="32"/>
        </w:rPr>
        <w:t>指事业单位按照预算管理要求使用非财政拨款结余弥补收支差额的金额，以及使用专用结余安排支出的金额。</w:t>
      </w:r>
    </w:p>
    <w:p w14:paraId="4BC3F7D5">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lang w:val="en-US" w:eastAsia="zh-CN"/>
        </w:rPr>
        <w:t>九、年初结转和结余：</w:t>
      </w:r>
      <w:r>
        <w:rPr>
          <w:rFonts w:hint="eastAsia" w:ascii="仿宋_GB2312" w:hAnsi="仿宋_GB2312" w:eastAsia="仿宋_GB2312" w:cs="仿宋_GB2312"/>
          <w:kern w:val="0"/>
          <w:sz w:val="32"/>
          <w:szCs w:val="32"/>
        </w:rPr>
        <w:t>指单位上年结转本年使用的基本支出结转、项目支出结转和结余、经营结余。</w:t>
      </w:r>
    </w:p>
    <w:p w14:paraId="0ABAB293">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lang w:val="en-US" w:eastAsia="zh-CN"/>
        </w:rPr>
        <w:t xml:space="preserve"> 十、结余分配：</w:t>
      </w:r>
      <w:r>
        <w:rPr>
          <w:rFonts w:hint="eastAsia" w:ascii="仿宋_GB2312" w:hAnsi="仿宋_GB2312" w:eastAsia="仿宋_GB2312" w:cs="仿宋_GB2312"/>
          <w:kern w:val="0"/>
          <w:sz w:val="32"/>
          <w:szCs w:val="32"/>
        </w:rPr>
        <w:t>指单位按规定缴纳企业所得税以及从非财政拨款结余或经营结余中提取各类结余的情况。</w:t>
      </w:r>
    </w:p>
    <w:p w14:paraId="5DB5CA1F">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lang w:val="en-US" w:eastAsia="zh-CN"/>
        </w:rPr>
        <w:t xml:space="preserve"> 十一、年末结转和结余资金：</w:t>
      </w:r>
      <w:r>
        <w:rPr>
          <w:rFonts w:hint="eastAsia" w:ascii="仿宋_GB2312" w:hAnsi="仿宋_GB2312" w:eastAsia="仿宋_GB2312" w:cs="仿宋_GB2312"/>
          <w:kern w:val="0"/>
          <w:sz w:val="32"/>
          <w:szCs w:val="32"/>
        </w:rPr>
        <w:t>指单位结转下年的基本支出结转、项目支出结转和结余、经营结余。</w:t>
      </w:r>
    </w:p>
    <w:p w14:paraId="012FFDAB">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lang w:val="en-US" w:eastAsia="zh-CN"/>
        </w:rPr>
        <w:t>十二、基本支出：</w:t>
      </w:r>
      <w:r>
        <w:rPr>
          <w:rFonts w:hint="eastAsia" w:ascii="仿宋_GB2312" w:hAnsi="仿宋_GB2312" w:eastAsia="仿宋_GB2312" w:cs="仿宋_GB2312"/>
          <w:kern w:val="0"/>
          <w:sz w:val="32"/>
          <w:szCs w:val="32"/>
        </w:rPr>
        <w:t>指为保障机构正常运转、完成日常工作任务所发生的支出，包括人员经费和公用经费。</w:t>
      </w:r>
    </w:p>
    <w:p w14:paraId="284740B7">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lang w:val="en-US" w:eastAsia="zh-CN"/>
        </w:rPr>
        <w:t xml:space="preserve"> 十三、项目支出：</w:t>
      </w:r>
      <w:r>
        <w:rPr>
          <w:rFonts w:hint="eastAsia" w:ascii="仿宋_GB2312" w:hAnsi="仿宋_GB2312" w:eastAsia="仿宋_GB2312" w:cs="仿宋_GB2312"/>
          <w:kern w:val="0"/>
          <w:sz w:val="32"/>
          <w:szCs w:val="32"/>
        </w:rPr>
        <w:t>指在为完成特定的行政工作任务或事业发展目标所发生的支出。</w:t>
      </w:r>
    </w:p>
    <w:p w14:paraId="02A901C5">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lang w:val="en-US" w:eastAsia="zh-CN"/>
        </w:rPr>
        <w:t xml:space="preserve"> 十四、上缴上级支出：</w:t>
      </w:r>
      <w:r>
        <w:rPr>
          <w:rFonts w:hint="eastAsia" w:ascii="仿宋_GB2312" w:hAnsi="仿宋_GB2312" w:eastAsia="仿宋_GB2312" w:cs="仿宋_GB2312"/>
          <w:kern w:val="0"/>
          <w:sz w:val="32"/>
          <w:szCs w:val="32"/>
        </w:rPr>
        <w:t>指事业单位按照财政部门和主管部门的规定上缴上级单位的支出。</w:t>
      </w:r>
    </w:p>
    <w:p w14:paraId="654D2FE4">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xml:space="preserve">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lang w:val="en-US" w:eastAsia="zh-CN"/>
        </w:rPr>
        <w:t>十五、经营支出：</w:t>
      </w:r>
      <w:r>
        <w:rPr>
          <w:rFonts w:hint="eastAsia" w:ascii="仿宋_GB2312" w:hAnsi="仿宋_GB2312" w:eastAsia="仿宋_GB2312" w:cs="仿宋_GB2312"/>
          <w:kern w:val="0"/>
          <w:sz w:val="32"/>
          <w:szCs w:val="32"/>
        </w:rPr>
        <w:t>指事业单位在专业业务活动及其辅助活动之外开展非独立核算经营活动发生的支出。</w:t>
      </w:r>
    </w:p>
    <w:p w14:paraId="67EDEECA">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黑体" w:hAnsi="黑体" w:eastAsia="黑体" w:cs="黑体"/>
          <w:b/>
          <w:bCs/>
          <w:kern w:val="0"/>
          <w:sz w:val="32"/>
          <w:szCs w:val="32"/>
          <w:lang w:val="en-US" w:eastAsia="zh-CN"/>
        </w:rPr>
        <w:t xml:space="preserve"> 十六、对附属单位补助支出：</w:t>
      </w:r>
      <w:r>
        <w:rPr>
          <w:rFonts w:hint="eastAsia" w:ascii="仿宋_GB2312" w:hAnsi="仿宋_GB2312" w:eastAsia="仿宋_GB2312" w:cs="仿宋_GB2312"/>
          <w:kern w:val="0"/>
          <w:sz w:val="32"/>
          <w:szCs w:val="32"/>
        </w:rPr>
        <w:t>指事业单位用财政拨款收入之外的收入对附属单位补助发生的支出。</w:t>
      </w:r>
    </w:p>
    <w:p w14:paraId="3D937469">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黑体" w:hAnsi="黑体" w:eastAsia="黑体" w:cs="黑体"/>
          <w:b/>
          <w:bCs/>
          <w:kern w:val="0"/>
          <w:sz w:val="32"/>
          <w:szCs w:val="32"/>
          <w:lang w:val="en-US" w:eastAsia="zh-CN"/>
        </w:rPr>
        <w:t xml:space="preserve">  十七、“三公”经费：</w:t>
      </w:r>
      <w:r>
        <w:rPr>
          <w:rFonts w:hint="eastAsia" w:ascii="仿宋_GB2312" w:hAnsi="仿宋_GB2312" w:eastAsia="仿宋_GB2312" w:cs="仿宋_GB2312"/>
          <w:kern w:val="0"/>
          <w:sz w:val="32"/>
          <w:szCs w:val="32"/>
        </w:rPr>
        <w:t>指部门（单位）用财政拨款安排的因公出国（境）费、公务用车购置及运行维护费和公务接待费。其中，因公出国（境）费反映部门（单位）)公务出国（境）的国际旅费、国外城市间交通费、住宿费、伙食费、培训费、公杂费等支出；公务用车购置及运行维护费反映部门（单位）公务用车购置支出（含车辆购置税、牌照费）以及按规定保留的公务用车燃料费、维修费、过路过桥费、保险费、安全奖励费用等支出；公务接待费反映部门（单位）按规定开支的各类公务接待（含外宾接待）费用。</w:t>
      </w:r>
    </w:p>
    <w:p w14:paraId="0D013138">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   </w:t>
      </w:r>
      <w:r>
        <w:rPr>
          <w:rFonts w:hint="eastAsia" w:ascii="仿宋_GB2312" w:hAnsi="仿宋_GB2312" w:eastAsia="仿宋_GB2312" w:cs="仿宋_GB2312"/>
          <w:kern w:val="0"/>
          <w:sz w:val="32"/>
          <w:szCs w:val="32"/>
          <w:lang w:val="en-US" w:eastAsia="zh-CN"/>
        </w:rPr>
        <w:t xml:space="preserve"> </w:t>
      </w:r>
      <w:r>
        <w:rPr>
          <w:rFonts w:hint="eastAsia" w:ascii="仿宋_GB2312" w:hAnsi="仿宋_GB2312" w:eastAsia="仿宋_GB2312" w:cs="仿宋_GB2312"/>
          <w:kern w:val="0"/>
          <w:sz w:val="32"/>
          <w:szCs w:val="32"/>
        </w:rPr>
        <w:t xml:space="preserve"> </w:t>
      </w:r>
      <w:r>
        <w:rPr>
          <w:rFonts w:hint="eastAsia" w:ascii="黑体" w:hAnsi="黑体" w:eastAsia="黑体" w:cs="黑体"/>
          <w:b/>
          <w:bCs/>
          <w:kern w:val="0"/>
          <w:sz w:val="32"/>
          <w:szCs w:val="32"/>
          <w:lang w:val="en-US" w:eastAsia="zh-CN"/>
        </w:rPr>
        <w:t>十八、机关运行经费：</w:t>
      </w:r>
      <w:r>
        <w:rPr>
          <w:rFonts w:hint="eastAsia" w:ascii="仿宋_GB2312" w:hAnsi="仿宋_GB2312" w:eastAsia="仿宋_GB2312" w:cs="仿宋_GB2312"/>
          <w:kern w:val="0"/>
          <w:sz w:val="32"/>
          <w:szCs w:val="32"/>
        </w:rPr>
        <w:t>指行政单位和参照公务员法管理的事业单位财政拨款基本支出中的公用经费支出，包括办公及印刷费、邮电费、差旅费、会议费、福利费、日常维修费、专用材料及一般设备购置费、办公用房水电费、办公用房取暖费、办公用房物业管理费、公务用车运行维护费及其他费用等。</w:t>
      </w:r>
    </w:p>
    <w:p w14:paraId="28E07C09">
      <w:pPr>
        <w:pageBreakBefore w:val="0"/>
        <w:widowControl/>
        <w:kinsoku/>
        <w:wordWrap/>
        <w:overflowPunct/>
        <w:topLinePunct w:val="0"/>
        <w:autoSpaceDE/>
        <w:autoSpaceDN/>
        <w:bidi w:val="0"/>
        <w:spacing w:line="580" w:lineRule="exact"/>
        <w:ind w:left="0" w:leftChars="0"/>
        <w:jc w:val="left"/>
        <w:textAlignment w:val="auto"/>
        <w:rPr>
          <w:rFonts w:hint="eastAsia" w:ascii="仿宋_GB2312" w:hAnsi="仿宋_GB2312" w:eastAsia="仿宋_GB2312" w:cs="仿宋_GB2312"/>
          <w:kern w:val="0"/>
          <w:sz w:val="32"/>
          <w:szCs w:val="32"/>
        </w:rPr>
      </w:pPr>
    </w:p>
    <w:p w14:paraId="422BFE8D">
      <w:pPr>
        <w:pStyle w:val="3"/>
        <w:keepNext w:val="0"/>
        <w:keepLines w:val="0"/>
        <w:pageBreakBefore w:val="0"/>
        <w:widowControl/>
        <w:kinsoku/>
        <w:wordWrap/>
        <w:overflowPunct/>
        <w:topLinePunct w:val="0"/>
        <w:autoSpaceDE/>
        <w:autoSpaceDN/>
        <w:bidi w:val="0"/>
        <w:spacing w:before="0" w:after="0" w:line="580" w:lineRule="exact"/>
        <w:ind w:left="0" w:leftChars="0"/>
        <w:jc w:val="center"/>
        <w:textAlignment w:val="auto"/>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第四部分 决算公开联系方式及信息反馈渠道</w:t>
      </w:r>
    </w:p>
    <w:p w14:paraId="66755173">
      <w:pPr>
        <w:widowControl/>
        <w:spacing w:before="240" w:after="240"/>
        <w:jc w:val="left"/>
        <w:rPr>
          <w:rFonts w:ascii="Times New Roman" w:hAnsi="Times New Roman" w:eastAsia="Times New Roman" w:cs="Times New Roman"/>
          <w:kern w:val="0"/>
          <w:sz w:val="24"/>
        </w:rPr>
      </w:pPr>
    </w:p>
    <w:p w14:paraId="025AA2F6">
      <w:pPr>
        <w:keepNext w:val="0"/>
        <w:keepLines w:val="0"/>
        <w:pageBreakBefore w:val="0"/>
        <w:widowControl/>
        <w:kinsoku/>
        <w:wordWrap/>
        <w:overflowPunct/>
        <w:topLinePunct w:val="0"/>
        <w:autoSpaceDE/>
        <w:autoSpaceDN/>
        <w:bidi w:val="0"/>
        <w:adjustRightInd/>
        <w:snapToGrid/>
        <w:spacing w:line="580" w:lineRule="exact"/>
        <w:ind w:left="0" w:leftChars="0" w:firstLine="540" w:firstLineChars="200"/>
        <w:jc w:val="left"/>
        <w:textAlignment w:val="auto"/>
        <w:rPr>
          <w:rFonts w:hint="eastAsia" w:ascii="仿宋_GB2312" w:hAnsi="仿宋_GB2312" w:eastAsia="仿宋_GB2312" w:cs="仿宋_GB2312"/>
          <w:kern w:val="0"/>
          <w:sz w:val="32"/>
          <w:szCs w:val="32"/>
        </w:rPr>
      </w:pPr>
      <w:r>
        <w:rPr>
          <w:rFonts w:ascii="Calibri" w:hAnsi="Calibri" w:eastAsia="Calibri" w:cs="Calibri"/>
          <w:kern w:val="0"/>
          <w:sz w:val="27"/>
          <w:szCs w:val="27"/>
        </w:rPr>
        <w:t> </w:t>
      </w:r>
      <w:r>
        <w:rPr>
          <w:rFonts w:hint="eastAsia" w:ascii="仿宋_GB2312" w:hAnsi="仿宋_GB2312" w:eastAsia="仿宋_GB2312" w:cs="仿宋_GB2312"/>
          <w:kern w:val="0"/>
          <w:sz w:val="32"/>
          <w:szCs w:val="32"/>
        </w:rPr>
        <w:t>本部门（单位）决算公开信息反馈和联系方式：</w:t>
      </w:r>
    </w:p>
    <w:p w14:paraId="512F19DC">
      <w:pPr>
        <w:keepNext w:val="0"/>
        <w:keepLines w:val="0"/>
        <w:pageBreakBefore w:val="0"/>
        <w:widowControl/>
        <w:kinsoku/>
        <w:wordWrap/>
        <w:overflowPunct/>
        <w:topLinePunct w:val="0"/>
        <w:autoSpaceDE/>
        <w:autoSpaceDN/>
        <w:bidi w:val="0"/>
        <w:adjustRightInd/>
        <w:snapToGrid/>
        <w:spacing w:line="580" w:lineRule="exact"/>
        <w:ind w:left="0" w:leftChars="0" w:firstLine="640" w:firstLineChars="200"/>
        <w:jc w:val="left"/>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联系人：张莉           联系电话：0476-8429516- </w:t>
      </w:r>
    </w:p>
    <w:p w14:paraId="1BE034AE">
      <w:pPr>
        <w:pStyle w:val="21"/>
      </w:pPr>
    </w:p>
    <w:p w14:paraId="7397E4D2">
      <w:pPr>
        <w:pageBreakBefore w:val="0"/>
        <w:widowControl/>
        <w:kinsoku/>
        <w:wordWrap/>
        <w:overflowPunct/>
        <w:topLinePunct w:val="0"/>
        <w:autoSpaceDE/>
        <w:autoSpaceDN/>
        <w:bidi w:val="0"/>
        <w:spacing w:line="580" w:lineRule="exact"/>
        <w:ind w:left="0" w:leftChars="0"/>
        <w:jc w:val="center"/>
        <w:textAlignment w:val="auto"/>
        <w:rPr>
          <w:rFonts w:hint="eastAsia" w:ascii="方正小标宋简体" w:hAnsi="方正小标宋简体" w:eastAsia="方正小标宋简体" w:cs="方正小标宋简体"/>
          <w:b w:val="0"/>
          <w:bCs w:val="0"/>
          <w:kern w:val="0"/>
          <w:sz w:val="36"/>
          <w:szCs w:val="36"/>
        </w:rPr>
      </w:pPr>
      <w:r>
        <w:rPr>
          <w:rFonts w:hint="eastAsia" w:ascii="方正小标宋简体" w:hAnsi="方正小标宋简体" w:eastAsia="方正小标宋简体" w:cs="方正小标宋简体"/>
          <w:b w:val="0"/>
          <w:bCs w:val="0"/>
          <w:kern w:val="0"/>
          <w:sz w:val="36"/>
          <w:szCs w:val="36"/>
        </w:rPr>
        <w:t>第五部分 部门（单位）决算表</w:t>
      </w:r>
    </w:p>
    <w:p w14:paraId="29064094">
      <w:pPr>
        <w:widowControl/>
        <w:spacing w:before="240" w:after="240"/>
        <w:jc w:val="center"/>
        <w:rPr>
          <w:rFonts w:ascii="Times New Roman" w:hAnsi="Times New Roman" w:eastAsia="Times New Roman" w:cs="Times New Roman"/>
          <w:kern w:val="0"/>
          <w:sz w:val="24"/>
        </w:rPr>
      </w:pPr>
    </w:p>
    <w:p w14:paraId="758BE25B">
      <w:pPr>
        <w:widowControl/>
        <w:spacing w:before="240" w:after="240"/>
        <w:jc w:val="left"/>
        <w:rPr>
          <w:rFonts w:hint="eastAsia" w:ascii="仿宋_GB2312" w:hAnsi="仿宋_GB2312" w:eastAsia="仿宋_GB2312" w:cs="仿宋_GB2312"/>
          <w:kern w:val="0"/>
          <w:sz w:val="32"/>
          <w:szCs w:val="32"/>
        </w:rPr>
      </w:pP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ascii="Calibri" w:hAnsi="Calibri" w:eastAsia="Calibri" w:cs="Calibri"/>
          <w:kern w:val="0"/>
          <w:sz w:val="27"/>
          <w:szCs w:val="27"/>
        </w:rPr>
        <w:t> </w:t>
      </w:r>
      <w:r>
        <w:rPr>
          <w:rFonts w:ascii="仿宋_GB2312" w:hAnsi="仿宋_GB2312" w:eastAsia="仿宋_GB2312" w:cs="仿宋_GB2312"/>
          <w:kern w:val="0"/>
          <w:sz w:val="27"/>
          <w:szCs w:val="27"/>
        </w:rPr>
        <w:t xml:space="preserve"> </w:t>
      </w:r>
      <w:r>
        <w:rPr>
          <w:rFonts w:hint="eastAsia" w:ascii="仿宋_GB2312" w:hAnsi="仿宋_GB2312" w:eastAsia="仿宋_GB2312" w:cs="仿宋_GB2312"/>
          <w:kern w:val="0"/>
          <w:sz w:val="27"/>
          <w:szCs w:val="27"/>
          <w:lang w:val="en-US" w:eastAsia="zh-CN"/>
        </w:rPr>
        <w:t xml:space="preserve">  </w:t>
      </w:r>
      <w:r>
        <w:rPr>
          <w:rFonts w:hint="eastAsia" w:ascii="仿宋_GB2312" w:hAnsi="仿宋_GB2312" w:eastAsia="仿宋_GB2312" w:cs="仿宋_GB2312"/>
          <w:kern w:val="0"/>
          <w:sz w:val="32"/>
          <w:szCs w:val="32"/>
        </w:rPr>
        <w:t>见附件。</w:t>
      </w:r>
    </w:p>
    <w:p w14:paraId="3179F768">
      <w:pPr>
        <w:widowControl/>
        <w:spacing w:before="240" w:after="240"/>
        <w:jc w:val="left"/>
        <w:rPr>
          <w:rFonts w:ascii="Times New Roman" w:hAnsi="Times New Roman" w:eastAsia="Times New Roman" w:cs="Times New Roman"/>
          <w:kern w:val="0"/>
          <w:sz w:val="24"/>
        </w:rPr>
      </w:pPr>
    </w:p>
    <w:bookmarkEnd w:id="0"/>
    <w:p w14:paraId="736AC114">
      <w:pPr>
        <w:adjustRightInd w:val="0"/>
        <w:snapToGrid w:val="0"/>
        <w:rPr>
          <w:rFonts w:ascii="宋体" w:hAnsi="宋体"/>
          <w:b/>
          <w:sz w:val="32"/>
          <w:szCs w:val="32"/>
        </w:rPr>
      </w:pPr>
    </w:p>
    <w:p w14:paraId="3DC7C3F6">
      <w:pPr>
        <w:adjustRightInd w:val="0"/>
        <w:snapToGrid w:val="0"/>
        <w:rPr>
          <w:rFonts w:ascii="宋体" w:hAnsi="宋体"/>
          <w:b/>
          <w:sz w:val="32"/>
          <w:szCs w:val="32"/>
        </w:rPr>
      </w:pPr>
    </w:p>
    <w:p w14:paraId="2F40B76E">
      <w:pPr>
        <w:tabs>
          <w:tab w:val="left" w:pos="8415"/>
        </w:tabs>
      </w:pPr>
    </w:p>
    <w:sectPr>
      <w:footerReference r:id="rId4" w:type="default"/>
      <w:pgSz w:w="11906" w:h="16838"/>
      <w:pgMar w:top="1440" w:right="1083" w:bottom="1440" w:left="1083" w:header="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fang_zheng_xiao_biao_song_ti">
    <w:altName w:val="Courier New"/>
    <w:panose1 w:val="00000000000000000000"/>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kai_ti_gb2312">
    <w:altName w:val="Courier New"/>
    <w:panose1 w:val="00000000000000000000"/>
    <w:charset w:val="00"/>
    <w:family w:val="auto"/>
    <w:pitch w:val="default"/>
    <w:sig w:usb0="00000000" w:usb1="00000000" w:usb2="00000000" w:usb3="00000000" w:csb0="00000000"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436525">
    <w:pPr>
      <w:jc w:val="center"/>
    </w:pPr>
    <w:r>
      <w:rPr>
        <w:rFonts w:ascii="宋体" w:hAnsi="宋体" w:eastAsia="宋体" w:cs="宋体"/>
        <w:sz w:val="18"/>
      </w:rPr>
      <w:fldChar w:fldCharType="begin"/>
    </w:r>
    <w:r>
      <w:rPr>
        <w:rFonts w:ascii="宋体" w:hAnsi="宋体" w:eastAsia="宋体" w:cs="宋体"/>
        <w:sz w:val="18"/>
      </w:rPr>
      <w:instrText xml:space="preserve"> PAGE </w:instrText>
    </w:r>
    <w:r>
      <w:rPr>
        <w:rFonts w:ascii="宋体" w:hAnsi="宋体" w:eastAsia="宋体" w:cs="宋体"/>
        <w:sz w:val="18"/>
      </w:rPr>
      <w:fldChar w:fldCharType="separate"/>
    </w:r>
    <w:r>
      <w:rPr>
        <w:rFonts w:ascii="宋体" w:hAnsi="宋体" w:eastAsia="宋体" w:cs="宋体"/>
        <w:sz w:val="18"/>
      </w:rPr>
      <w:t>1</w:t>
    </w:r>
    <w:r>
      <w:rPr>
        <w:rFonts w:ascii="宋体" w:hAnsi="宋体" w:eastAsia="宋体" w:cs="宋体"/>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A0CD2D">
    <w:pPr>
      <w:pStyle w:val="13"/>
      <w:jc w:val="center"/>
    </w:pPr>
    <w:r>
      <w:fldChar w:fldCharType="begin"/>
    </w:r>
    <w:r>
      <w:instrText xml:space="preserve"> PAGE   \* MERGEFORMAT </w:instrText>
    </w:r>
    <w:r>
      <w:fldChar w:fldCharType="separate"/>
    </w:r>
    <w:r>
      <w:rPr>
        <w:lang w:val="zh-CN"/>
      </w:rPr>
      <w:t>25</w:t>
    </w:r>
    <w:r>
      <w:rPr>
        <w:lang w:val="zh-CN"/>
      </w:rPr>
      <w:fldChar w:fldCharType="end"/>
    </w:r>
  </w:p>
  <w:p w14:paraId="45A211F3">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FC2913"/>
    <w:multiLevelType w:val="singleLevel"/>
    <w:tmpl w:val="D9FC2913"/>
    <w:lvl w:ilvl="0" w:tentative="0">
      <w:start w:val="1"/>
      <w:numFmt w:val="chineseCounting"/>
      <w:suff w:val="nothing"/>
      <w:lvlText w:val="（%1）"/>
      <w:lvlJc w:val="left"/>
      <w:rPr>
        <w:rFonts w:hint="eastAsia"/>
      </w:rPr>
    </w:lvl>
  </w:abstractNum>
  <w:abstractNum w:abstractNumId="1">
    <w:nsid w:val="E86FB722"/>
    <w:multiLevelType w:val="singleLevel"/>
    <w:tmpl w:val="E86FB722"/>
    <w:lvl w:ilvl="0" w:tentative="0">
      <w:start w:val="1"/>
      <w:numFmt w:val="decimal"/>
      <w:suff w:val="nothing"/>
      <w:lvlText w:val="%1．"/>
      <w:lvlJc w:val="left"/>
    </w:lvl>
  </w:abstractNum>
  <w:abstractNum w:abstractNumId="2">
    <w:nsid w:val="625BB77A"/>
    <w:multiLevelType w:val="singleLevel"/>
    <w:tmpl w:val="625BB77A"/>
    <w:lvl w:ilvl="0" w:tentative="0">
      <w:start w:val="14"/>
      <w:numFmt w:val="chineseCounting"/>
      <w:suff w:val="nothing"/>
      <w:lvlText w:val="%1、"/>
      <w:lvlJc w:val="left"/>
      <w:rPr>
        <w:rFonts w:hint="eastAsia"/>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QzMzExMWU1NzFmNWI0MWZkODgzZWE4NjM2MmQ5NzUifQ=="/>
  </w:docVars>
  <w:rsids>
    <w:rsidRoot w:val="009F0536"/>
    <w:rsid w:val="0000662F"/>
    <w:rsid w:val="00023E75"/>
    <w:rsid w:val="00033C6A"/>
    <w:rsid w:val="00063AC2"/>
    <w:rsid w:val="000774F0"/>
    <w:rsid w:val="0008308B"/>
    <w:rsid w:val="00097269"/>
    <w:rsid w:val="000A769F"/>
    <w:rsid w:val="000C736C"/>
    <w:rsid w:val="000D3889"/>
    <w:rsid w:val="0010682D"/>
    <w:rsid w:val="001620BF"/>
    <w:rsid w:val="001814D4"/>
    <w:rsid w:val="00183373"/>
    <w:rsid w:val="001E7634"/>
    <w:rsid w:val="00204509"/>
    <w:rsid w:val="00225D2E"/>
    <w:rsid w:val="0023107E"/>
    <w:rsid w:val="00233241"/>
    <w:rsid w:val="00297C52"/>
    <w:rsid w:val="00300987"/>
    <w:rsid w:val="0030784F"/>
    <w:rsid w:val="00312846"/>
    <w:rsid w:val="00367870"/>
    <w:rsid w:val="00375E79"/>
    <w:rsid w:val="003A4E85"/>
    <w:rsid w:val="003B3EAA"/>
    <w:rsid w:val="00482D36"/>
    <w:rsid w:val="00490629"/>
    <w:rsid w:val="0049507B"/>
    <w:rsid w:val="004A738F"/>
    <w:rsid w:val="004B1589"/>
    <w:rsid w:val="004B721F"/>
    <w:rsid w:val="004D7065"/>
    <w:rsid w:val="004E0B6C"/>
    <w:rsid w:val="005011E1"/>
    <w:rsid w:val="00505A51"/>
    <w:rsid w:val="0051384E"/>
    <w:rsid w:val="00521603"/>
    <w:rsid w:val="00536012"/>
    <w:rsid w:val="0054657E"/>
    <w:rsid w:val="0059054F"/>
    <w:rsid w:val="00596608"/>
    <w:rsid w:val="005B4139"/>
    <w:rsid w:val="005C13AB"/>
    <w:rsid w:val="00667493"/>
    <w:rsid w:val="006B7F45"/>
    <w:rsid w:val="006C017F"/>
    <w:rsid w:val="006E7255"/>
    <w:rsid w:val="007003B2"/>
    <w:rsid w:val="007402A0"/>
    <w:rsid w:val="00762248"/>
    <w:rsid w:val="00787000"/>
    <w:rsid w:val="007A7BA5"/>
    <w:rsid w:val="007B6706"/>
    <w:rsid w:val="007C1FDD"/>
    <w:rsid w:val="007D6292"/>
    <w:rsid w:val="00857D98"/>
    <w:rsid w:val="00894C48"/>
    <w:rsid w:val="00896385"/>
    <w:rsid w:val="008A10DB"/>
    <w:rsid w:val="008B5455"/>
    <w:rsid w:val="009125DD"/>
    <w:rsid w:val="00954CD9"/>
    <w:rsid w:val="009A5EF3"/>
    <w:rsid w:val="009D6904"/>
    <w:rsid w:val="009E1EE8"/>
    <w:rsid w:val="009E227B"/>
    <w:rsid w:val="009E308A"/>
    <w:rsid w:val="009F0536"/>
    <w:rsid w:val="00A147CF"/>
    <w:rsid w:val="00A270BE"/>
    <w:rsid w:val="00A36C1D"/>
    <w:rsid w:val="00A517A0"/>
    <w:rsid w:val="00A62486"/>
    <w:rsid w:val="00AB013A"/>
    <w:rsid w:val="00AD11A5"/>
    <w:rsid w:val="00AE47F5"/>
    <w:rsid w:val="00AF5F33"/>
    <w:rsid w:val="00B27D51"/>
    <w:rsid w:val="00B32BEE"/>
    <w:rsid w:val="00B373AF"/>
    <w:rsid w:val="00B4208A"/>
    <w:rsid w:val="00B57D7A"/>
    <w:rsid w:val="00B76620"/>
    <w:rsid w:val="00B840CE"/>
    <w:rsid w:val="00B96C3D"/>
    <w:rsid w:val="00BD0928"/>
    <w:rsid w:val="00BE5F73"/>
    <w:rsid w:val="00BF4228"/>
    <w:rsid w:val="00C07A30"/>
    <w:rsid w:val="00C352FF"/>
    <w:rsid w:val="00C44231"/>
    <w:rsid w:val="00CC6B8B"/>
    <w:rsid w:val="00CD3751"/>
    <w:rsid w:val="00D2051A"/>
    <w:rsid w:val="00D96390"/>
    <w:rsid w:val="00E219E7"/>
    <w:rsid w:val="00E60D6A"/>
    <w:rsid w:val="00E73321"/>
    <w:rsid w:val="00E77EC0"/>
    <w:rsid w:val="00E914C1"/>
    <w:rsid w:val="00E97C37"/>
    <w:rsid w:val="00EE533B"/>
    <w:rsid w:val="00F04882"/>
    <w:rsid w:val="00F63327"/>
    <w:rsid w:val="00F80A29"/>
    <w:rsid w:val="00FA7CA5"/>
    <w:rsid w:val="00FD08EC"/>
    <w:rsid w:val="00FD7690"/>
    <w:rsid w:val="029B565D"/>
    <w:rsid w:val="03297DC7"/>
    <w:rsid w:val="035737B0"/>
    <w:rsid w:val="049C64E7"/>
    <w:rsid w:val="058D035F"/>
    <w:rsid w:val="05B030A6"/>
    <w:rsid w:val="0E0365B9"/>
    <w:rsid w:val="0E3966AF"/>
    <w:rsid w:val="10DD0CAD"/>
    <w:rsid w:val="12671172"/>
    <w:rsid w:val="157131C6"/>
    <w:rsid w:val="16E178E4"/>
    <w:rsid w:val="18700F1F"/>
    <w:rsid w:val="1B5C5754"/>
    <w:rsid w:val="1E6F1C79"/>
    <w:rsid w:val="21957C48"/>
    <w:rsid w:val="22252D7A"/>
    <w:rsid w:val="23717CB9"/>
    <w:rsid w:val="23EB1DA2"/>
    <w:rsid w:val="25BC1C48"/>
    <w:rsid w:val="269842FF"/>
    <w:rsid w:val="2B0100FD"/>
    <w:rsid w:val="2B4F2E23"/>
    <w:rsid w:val="2C0559CB"/>
    <w:rsid w:val="2C895B0F"/>
    <w:rsid w:val="349768FB"/>
    <w:rsid w:val="3BB70A8F"/>
    <w:rsid w:val="3E18333B"/>
    <w:rsid w:val="3F7D06F2"/>
    <w:rsid w:val="3FF51F13"/>
    <w:rsid w:val="40A02997"/>
    <w:rsid w:val="414231DA"/>
    <w:rsid w:val="43FC4EA6"/>
    <w:rsid w:val="443F69C6"/>
    <w:rsid w:val="46DD5122"/>
    <w:rsid w:val="46F46051"/>
    <w:rsid w:val="4B6F617A"/>
    <w:rsid w:val="4BE01F41"/>
    <w:rsid w:val="4C982217"/>
    <w:rsid w:val="4D4E2860"/>
    <w:rsid w:val="4F5346D7"/>
    <w:rsid w:val="4F8B35C3"/>
    <w:rsid w:val="51CD438B"/>
    <w:rsid w:val="55BE25C3"/>
    <w:rsid w:val="55CC2F32"/>
    <w:rsid w:val="573866FE"/>
    <w:rsid w:val="575D60AD"/>
    <w:rsid w:val="632843A1"/>
    <w:rsid w:val="645D5FB0"/>
    <w:rsid w:val="653F54CE"/>
    <w:rsid w:val="69842796"/>
    <w:rsid w:val="6AC91A24"/>
    <w:rsid w:val="6B735ED1"/>
    <w:rsid w:val="6DBB3B60"/>
    <w:rsid w:val="71426C48"/>
    <w:rsid w:val="72916C3D"/>
    <w:rsid w:val="731E0403"/>
    <w:rsid w:val="73DC213A"/>
    <w:rsid w:val="74B7598C"/>
    <w:rsid w:val="76D96AF0"/>
    <w:rsid w:val="7F286B7B"/>
    <w:rsid w:val="7F4249AF"/>
    <w:rsid w:val="7F565496"/>
    <w:rsid w:val="7F847529"/>
    <w:rsid w:val="7FCE32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iPriority="1" w:semiHidden="0" w:name="Body Text"/>
    <w:lsdException w:qFormat="1" w:uiPriority="99"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99" w:semiHidden="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uiPriority="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31"/>
    <w:qFormat/>
    <w:uiPriority w:val="0"/>
    <w:pPr>
      <w:keepNext/>
      <w:keepLines/>
      <w:spacing w:before="260" w:after="260" w:line="416" w:lineRule="auto"/>
      <w:outlineLvl w:val="2"/>
    </w:pPr>
    <w:rPr>
      <w:b/>
      <w:bCs/>
      <w:sz w:val="32"/>
      <w:szCs w:val="32"/>
    </w:rPr>
  </w:style>
  <w:style w:type="paragraph" w:styleId="5">
    <w:name w:val="heading 4"/>
    <w:basedOn w:val="1"/>
    <w:next w:val="1"/>
    <w:link w:val="26"/>
    <w:qFormat/>
    <w:uiPriority w:val="0"/>
    <w:pPr>
      <w:keepNext/>
      <w:keepLines/>
      <w:spacing w:before="280" w:after="290" w:line="376" w:lineRule="auto"/>
      <w:outlineLvl w:val="3"/>
    </w:pPr>
    <w:rPr>
      <w:rFonts w:ascii="Cambria" w:hAnsi="Cambria"/>
      <w:b/>
      <w:bCs/>
      <w:sz w:val="28"/>
      <w:szCs w:val="28"/>
    </w:rPr>
  </w:style>
  <w:style w:type="character" w:default="1" w:styleId="23">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toc 7"/>
    <w:basedOn w:val="1"/>
    <w:next w:val="1"/>
    <w:qFormat/>
    <w:uiPriority w:val="0"/>
    <w:pPr>
      <w:ind w:left="1260"/>
      <w:jc w:val="left"/>
    </w:pPr>
    <w:rPr>
      <w:sz w:val="20"/>
      <w:szCs w:val="20"/>
    </w:rPr>
  </w:style>
  <w:style w:type="paragraph" w:styleId="7">
    <w:name w:val="Document Map"/>
    <w:basedOn w:val="1"/>
    <w:qFormat/>
    <w:uiPriority w:val="0"/>
    <w:pPr>
      <w:shd w:val="clear" w:color="auto" w:fill="000080"/>
    </w:pPr>
  </w:style>
  <w:style w:type="paragraph" w:styleId="8">
    <w:name w:val="Body Text"/>
    <w:basedOn w:val="1"/>
    <w:unhideWhenUsed/>
    <w:qFormat/>
    <w:uiPriority w:val="1"/>
    <w:pPr>
      <w:spacing w:after="120"/>
    </w:pPr>
  </w:style>
  <w:style w:type="paragraph" w:styleId="9">
    <w:name w:val="Body Text Indent"/>
    <w:basedOn w:val="1"/>
    <w:unhideWhenUsed/>
    <w:qFormat/>
    <w:uiPriority w:val="99"/>
    <w:pPr>
      <w:spacing w:after="120"/>
      <w:ind w:left="420" w:leftChars="200"/>
    </w:pPr>
    <w:rPr>
      <w:rFonts w:hint="default"/>
      <w:sz w:val="24"/>
    </w:rPr>
  </w:style>
  <w:style w:type="paragraph" w:styleId="10">
    <w:name w:val="toc 5"/>
    <w:basedOn w:val="1"/>
    <w:next w:val="1"/>
    <w:qFormat/>
    <w:uiPriority w:val="0"/>
    <w:pPr>
      <w:ind w:left="840"/>
      <w:jc w:val="left"/>
    </w:pPr>
    <w:rPr>
      <w:sz w:val="20"/>
      <w:szCs w:val="20"/>
    </w:rPr>
  </w:style>
  <w:style w:type="paragraph" w:styleId="11">
    <w:name w:val="toc 3"/>
    <w:basedOn w:val="1"/>
    <w:next w:val="1"/>
    <w:qFormat/>
    <w:uiPriority w:val="0"/>
    <w:pPr>
      <w:adjustRightInd w:val="0"/>
      <w:snapToGrid w:val="0"/>
      <w:spacing w:line="360" w:lineRule="auto"/>
      <w:ind w:firstLine="400" w:firstLineChars="400"/>
      <w:jc w:val="left"/>
    </w:pPr>
    <w:rPr>
      <w:sz w:val="24"/>
      <w:szCs w:val="20"/>
    </w:rPr>
  </w:style>
  <w:style w:type="paragraph" w:styleId="12">
    <w:name w:val="toc 8"/>
    <w:basedOn w:val="1"/>
    <w:next w:val="1"/>
    <w:qFormat/>
    <w:uiPriority w:val="0"/>
    <w:pPr>
      <w:ind w:left="1470"/>
      <w:jc w:val="left"/>
    </w:pPr>
    <w:rPr>
      <w:sz w:val="20"/>
      <w:szCs w:val="20"/>
    </w:rPr>
  </w:style>
  <w:style w:type="paragraph" w:styleId="13">
    <w:name w:val="footer"/>
    <w:basedOn w:val="1"/>
    <w:link w:val="29"/>
    <w:qFormat/>
    <w:uiPriority w:val="0"/>
    <w:pPr>
      <w:tabs>
        <w:tab w:val="center" w:pos="4153"/>
        <w:tab w:val="right" w:pos="8306"/>
      </w:tabs>
      <w:snapToGrid w:val="0"/>
      <w:jc w:val="left"/>
    </w:pPr>
    <w:rPr>
      <w:sz w:val="18"/>
      <w:szCs w:val="18"/>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adjustRightInd w:val="0"/>
      <w:snapToGrid w:val="0"/>
      <w:spacing w:line="360" w:lineRule="auto"/>
      <w:jc w:val="left"/>
    </w:pPr>
    <w:rPr>
      <w:b/>
      <w:bCs/>
      <w:sz w:val="24"/>
      <w:szCs w:val="20"/>
    </w:rPr>
  </w:style>
  <w:style w:type="paragraph" w:styleId="16">
    <w:name w:val="toc 4"/>
    <w:basedOn w:val="1"/>
    <w:next w:val="1"/>
    <w:qFormat/>
    <w:uiPriority w:val="0"/>
    <w:pPr>
      <w:ind w:left="630"/>
      <w:jc w:val="left"/>
    </w:pPr>
    <w:rPr>
      <w:sz w:val="20"/>
      <w:szCs w:val="20"/>
    </w:rPr>
  </w:style>
  <w:style w:type="paragraph" w:styleId="17">
    <w:name w:val="toc 6"/>
    <w:basedOn w:val="1"/>
    <w:next w:val="1"/>
    <w:qFormat/>
    <w:uiPriority w:val="0"/>
    <w:pPr>
      <w:ind w:left="1050"/>
      <w:jc w:val="left"/>
    </w:pPr>
    <w:rPr>
      <w:sz w:val="20"/>
      <w:szCs w:val="20"/>
    </w:rPr>
  </w:style>
  <w:style w:type="paragraph" w:styleId="18">
    <w:name w:val="toc 2"/>
    <w:basedOn w:val="1"/>
    <w:next w:val="1"/>
    <w:qFormat/>
    <w:uiPriority w:val="0"/>
    <w:pPr>
      <w:adjustRightInd w:val="0"/>
      <w:snapToGrid w:val="0"/>
      <w:spacing w:line="360" w:lineRule="auto"/>
      <w:ind w:firstLine="200" w:firstLineChars="200"/>
      <w:jc w:val="left"/>
    </w:pPr>
    <w:rPr>
      <w:iCs/>
      <w:sz w:val="24"/>
      <w:szCs w:val="20"/>
    </w:rPr>
  </w:style>
  <w:style w:type="paragraph" w:styleId="19">
    <w:name w:val="toc 9"/>
    <w:basedOn w:val="1"/>
    <w:next w:val="1"/>
    <w:qFormat/>
    <w:uiPriority w:val="0"/>
    <w:pPr>
      <w:ind w:left="1680"/>
      <w:jc w:val="left"/>
    </w:pPr>
    <w:rPr>
      <w:sz w:val="20"/>
      <w:szCs w:val="20"/>
    </w:rPr>
  </w:style>
  <w:style w:type="paragraph" w:styleId="20">
    <w:name w:val="Normal (Web)"/>
    <w:basedOn w:val="1"/>
    <w:qFormat/>
    <w:uiPriority w:val="0"/>
    <w:pPr>
      <w:spacing w:before="0" w:beforeAutospacing="1" w:after="0" w:afterAutospacing="1"/>
      <w:ind w:left="0" w:right="0"/>
      <w:jc w:val="left"/>
    </w:pPr>
    <w:rPr>
      <w:kern w:val="0"/>
      <w:sz w:val="24"/>
      <w:lang w:val="en-US" w:eastAsia="zh-CN" w:bidi="ar"/>
    </w:rPr>
  </w:style>
  <w:style w:type="paragraph" w:styleId="21">
    <w:name w:val="Body Text First Indent 2"/>
    <w:basedOn w:val="9"/>
    <w:unhideWhenUsed/>
    <w:qFormat/>
    <w:uiPriority w:val="99"/>
    <w:pPr>
      <w:autoSpaceDE/>
      <w:autoSpaceDN/>
      <w:adjustRightInd/>
      <w:ind w:firstLine="420"/>
    </w:pPr>
    <w:rPr>
      <w:rFonts w:hint="eastAsia" w:ascii="宋体" w:hAnsi="宋体" w:eastAsia="宋体"/>
      <w:sz w:val="24"/>
    </w:rPr>
  </w:style>
  <w:style w:type="character" w:styleId="24">
    <w:name w:val="page number"/>
    <w:basedOn w:val="23"/>
    <w:qFormat/>
    <w:uiPriority w:val="0"/>
  </w:style>
  <w:style w:type="character" w:styleId="25">
    <w:name w:val="Hyperlink"/>
    <w:basedOn w:val="23"/>
    <w:qFormat/>
    <w:uiPriority w:val="0"/>
    <w:rPr>
      <w:color w:val="0000FF"/>
      <w:u w:val="single"/>
    </w:rPr>
  </w:style>
  <w:style w:type="character" w:customStyle="1" w:styleId="26">
    <w:name w:val="标题 4 字符"/>
    <w:basedOn w:val="23"/>
    <w:link w:val="5"/>
    <w:qFormat/>
    <w:uiPriority w:val="0"/>
    <w:rPr>
      <w:rFonts w:ascii="Cambria" w:hAnsi="Cambria"/>
      <w:b/>
      <w:bCs/>
      <w:kern w:val="2"/>
      <w:sz w:val="28"/>
      <w:szCs w:val="28"/>
    </w:rPr>
  </w:style>
  <w:style w:type="paragraph" w:styleId="27">
    <w:name w:val="No Spacing"/>
    <w:link w:val="28"/>
    <w:qFormat/>
    <w:uiPriority w:val="0"/>
    <w:pPr>
      <w:ind w:firstLine="200" w:firstLineChars="200"/>
    </w:pPr>
    <w:rPr>
      <w:rFonts w:ascii="Times New Roman" w:hAnsi="Times New Roman" w:eastAsia="仿宋_GB2312" w:cs="Times New Roman"/>
      <w:sz w:val="30"/>
      <w:szCs w:val="22"/>
      <w:lang w:val="en-US" w:eastAsia="zh-CN" w:bidi="ar-SA"/>
    </w:rPr>
  </w:style>
  <w:style w:type="character" w:customStyle="1" w:styleId="28">
    <w:name w:val="无间隔 字符"/>
    <w:link w:val="27"/>
    <w:qFormat/>
    <w:locked/>
    <w:uiPriority w:val="0"/>
    <w:rPr>
      <w:rFonts w:eastAsia="仿宋_GB2312"/>
      <w:sz w:val="30"/>
      <w:szCs w:val="22"/>
      <w:lang w:bidi="ar-SA"/>
    </w:rPr>
  </w:style>
  <w:style w:type="character" w:customStyle="1" w:styleId="29">
    <w:name w:val="页脚 字符"/>
    <w:basedOn w:val="23"/>
    <w:link w:val="13"/>
    <w:qFormat/>
    <w:uiPriority w:val="0"/>
    <w:rPr>
      <w:kern w:val="2"/>
      <w:sz w:val="18"/>
      <w:szCs w:val="18"/>
    </w:rPr>
  </w:style>
  <w:style w:type="paragraph" w:styleId="30">
    <w:name w:val="List Paragraph"/>
    <w:basedOn w:val="1"/>
    <w:qFormat/>
    <w:uiPriority w:val="0"/>
    <w:pPr>
      <w:ind w:firstLine="420" w:firstLineChars="200"/>
    </w:pPr>
  </w:style>
  <w:style w:type="character" w:customStyle="1" w:styleId="31">
    <w:name w:val="标题 3 字符"/>
    <w:basedOn w:val="23"/>
    <w:link w:val="4"/>
    <w:qFormat/>
    <w:uiPriority w:val="0"/>
    <w:rPr>
      <w:b/>
      <w:bCs/>
      <w:kern w:val="2"/>
      <w:sz w:val="32"/>
      <w:szCs w:val="32"/>
    </w:rPr>
  </w:style>
  <w:style w:type="paragraph" w:customStyle="1" w:styleId="32">
    <w:name w:val="MsoNormal"/>
    <w:basedOn w:val="1"/>
    <w:qFormat/>
    <w:uiPriority w:val="0"/>
  </w:style>
  <w:style w:type="paragraph" w:customStyle="1" w:styleId="33">
    <w:name w:val="MsoBodyText"/>
    <w:basedOn w:val="1"/>
    <w:qFormat/>
    <w:uiPriority w:val="0"/>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收入决算图</a:t>
            </a:r>
          </a:p>
        </c:rich>
      </c:tx>
      <c:layout>
        <c:manualLayout>
          <c:xMode val="edge"/>
          <c:yMode val="edge"/>
          <c:x val="0.409881613916405"/>
          <c:y val="0.00588812561334642"/>
        </c:manualLayout>
      </c:layout>
      <c:overlay val="0"/>
      <c:spPr>
        <a:noFill/>
        <a:ln>
          <a:noFill/>
        </a:ln>
        <a:effectLst/>
      </c:spPr>
    </c:title>
    <c:autoTitleDeleted val="0"/>
    <c:plotArea>
      <c:layout/>
      <c:pieChart>
        <c:varyColors val="1"/>
        <c:ser>
          <c:idx val="0"/>
          <c:order val="0"/>
          <c:tx>
            <c:strRef>
              <c:f>Sheet1!$B$1</c:f>
              <c:strCache>
                <c:ptCount val="1"/>
                <c:pt idx="0">
                  <c:v>收入决算图</c:v>
                </c:pt>
              </c:strCache>
            </c:strRef>
          </c:tx>
          <c:spPr/>
          <c:explosion val="0"/>
          <c:dPt>
            <c:idx val="0"/>
            <c:bubble3D val="0"/>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c:spPr>
          </c:dPt>
          <c:dPt>
            <c:idx val="1"/>
            <c:bubble3D val="0"/>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一般公共预算财政拨款收入99.99%</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其他收入0.01%</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一般公共预算财政拨款收入</c:v>
                </c:pt>
                <c:pt idx="1">
                  <c:v>其他收入</c:v>
                </c:pt>
              </c:strCache>
            </c:strRef>
          </c:cat>
          <c:val>
            <c:numRef>
              <c:f>Sheet1!$B$2:$B$3</c:f>
              <c:numCache>
                <c:formatCode>0.00%</c:formatCode>
                <c:ptCount val="2"/>
                <c:pt idx="0">
                  <c:v>0.9999</c:v>
                </c:pt>
                <c:pt idx="1">
                  <c:v>0.0001</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1" i="0" u="none" strike="noStrike" kern="1200" baseline="0">
              <a:solidFill>
                <a:schemeClr val="tx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支出决算图</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Lbl>
              <c:idx val="0"/>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基本支出8</a:t>
                    </a:r>
                    <a:r>
                      <a:rPr lang="en-US" altLang="zh-CN"/>
                      <a:t>0.55</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defTabSz="914400">
                      <a:defRPr lang="zh-CN" sz="1000" b="0" i="0" u="none" strike="noStrike" kern="1200" baseline="0">
                        <a:solidFill>
                          <a:schemeClr val="tx1">
                            <a:lumMod val="75000"/>
                            <a:lumOff val="25000"/>
                          </a:schemeClr>
                        </a:solidFill>
                        <a:latin typeface="+mn-lt"/>
                        <a:ea typeface="+mn-ea"/>
                        <a:cs typeface="+mn-cs"/>
                      </a:defRPr>
                    </a:pPr>
                    <a:r>
                      <a:t>项目支出19</a:t>
                    </a:r>
                    <a:r>
                      <a:rPr lang="en-US" altLang="zh-CN"/>
                      <a:t>.45</a:t>
                    </a:r>
                    <a:r>
                      <a:t>%</a:t>
                    </a:r>
                  </a:p>
                </c:rich>
              </c:tx>
              <c:dLblPos val="inEnd"/>
              <c:showLegendKey val="0"/>
              <c:showVal val="0"/>
              <c:showCatName val="1"/>
              <c:showSerName val="0"/>
              <c:showPercent val="1"/>
              <c:showBubbleSize val="0"/>
              <c:separator>
</c:separator>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lumMod val="75000"/>
                        <a:lumOff val="25000"/>
                      </a:schemeClr>
                    </a:solidFill>
                    <a:latin typeface="+mn-lt"/>
                    <a:ea typeface="+mn-ea"/>
                    <a:cs typeface="+mn-cs"/>
                  </a:defRPr>
                </a:pPr>
              </a:p>
            </c:txPr>
            <c:dLblPos val="inEnd"/>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基本支出</c:v>
                </c:pt>
                <c:pt idx="1">
                  <c:v>项目支出</c:v>
                </c:pt>
              </c:strCache>
            </c:strRef>
          </c:cat>
          <c:val>
            <c:numRef>
              <c:f>Sheet1!$B$2:$B$3</c:f>
              <c:numCache>
                <c:formatCode>0.00%</c:formatCode>
                <c:ptCount val="2"/>
                <c:pt idx="0">
                  <c:v>0.8055</c:v>
                </c:pt>
                <c:pt idx="1">
                  <c:v>0.1945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r="http://schemas.openxmlformats.org/officeDocument/2006/relationships" xmlns:w="http://schemas.openxmlformats.org/wordprocessingml/2006/main" xmlns:w15="http://schemas.microsoft.com/office/word/2012/wordml" xmlns:m="http://schemas.openxmlformats.org/officeDocument/2006/math" xmlns:w14="http://schemas.microsoft.com/office/word/2010/wordml" xmlns:wp="http://schemas.openxmlformats.org/drawingml/2006/wordprocessingDrawing" xmlns:a="http://schemas.openxmlformats.org/drawingml/2006/main" xmlns:wp14="http://schemas.microsoft.com/office/word/2010/wordprocessingDrawing" xmlns:mc="http://schemas.openxmlformats.org/markup-compatibility/2006"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wps="http://schemas.microsoft.com/office/word/2010/wordprocessingShape"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SelectedStyle="\APASixthEditionOfficeOnline.xsl" StyleName="APA"/>
</file>

<file path=customXml/itemProps1.xml><?xml version="1.0" encoding="utf-8"?>
<ds:datastoreItem xmlns:ds="http://schemas.openxmlformats.org/officeDocument/2006/customXml" ds:itemID="{B57559B6-2DC7-41B5-818F-6E7F243775C0}">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19</Pages>
  <Words>7974</Words>
  <Characters>8817</Characters>
  <Lines>1</Lines>
  <Paragraphs>1</Paragraphs>
  <TotalTime>8</TotalTime>
  <ScaleCrop>false</ScaleCrop>
  <LinksUpToDate>false</LinksUpToDate>
  <CharactersWithSpaces>9329</CharactersWithSpaces>
  <Application>WPS Office_12.1.0.17857_F1E327BC-269C-435d-A152-05C5408002CA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2022-03-23T12:40:00Z</dcterms:created>
  <dc:creator>Administrator</dc:creator>
  <cp:lastModifiedBy>Admin</cp:lastModifiedBy>
  <cp:lastPrinted>2021-04-16T00:45:00Z</cp:lastPrinted>
  <dcterms:modified xsi:type="dcterms:W3CDTF">2026-08-03T09:08:43Z</dcterms:modified>
  <dc:title>××年度××部门/单位</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E7B6673190114C52A4E2AEF1CB982BF5_13</vt:lpwstr>
  </property>
  <property fmtid="{D5CDD505-2E9C-101B-9397-08002B2CF9AE}" pid="3" name="KSOProductBuildVer">
    <vt:lpwstr>2052-12.1.0.17857</vt:lpwstr>
  </property>
  <property fmtid="{D5CDD505-2E9C-101B-9397-08002B2CF9AE}" pid="4" name="KSOTemplateDocerSaveRecord">
    <vt:lpwstr>eyJoZGlkIjoiN2YzNjBkOTgyNWQ1YTMxYzM3MzMwNWFiODNmOWIzYWMiLCJ1c2VySWQiOiI4MDUyMTE2MjkifQ==</vt:lpwstr>
  </property>
</Properties>
</file>