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pageBreakBefore w:val="0"/>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val="en" w:eastAsia="zh-CN"/>
        </w:rPr>
      </w:pPr>
      <w:r>
        <w:rPr>
          <w:rFonts w:hint="eastAsia" w:ascii="方正小标宋简体" w:hAnsi="方正小标宋简体" w:eastAsia="方正小标宋简体" w:cs="方正小标宋简体"/>
          <w:b w:val="0"/>
          <w:bCs w:val="0"/>
          <w:color w:val="auto"/>
          <w:sz w:val="44"/>
          <w:szCs w:val="44"/>
        </w:rPr>
        <w:t>2023年度赤峰市司法局</w:t>
      </w:r>
      <w:r>
        <w:rPr>
          <w:rFonts w:hint="eastAsia" w:ascii="方正小标宋简体" w:hAnsi="方正小标宋简体" w:eastAsia="方正小标宋简体" w:cs="方正小标宋简体"/>
          <w:b w:val="0"/>
          <w:bCs w:val="0"/>
          <w:color w:val="auto"/>
          <w:sz w:val="44"/>
          <w:szCs w:val="44"/>
          <w:lang w:eastAsia="zh-CN"/>
        </w:rPr>
        <w:t>（本级）</w:t>
      </w:r>
    </w:p>
    <w:p>
      <w:pPr>
        <w:pageBreakBefore w:val="0"/>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决算</w:t>
      </w:r>
      <w:r>
        <w:rPr>
          <w:rFonts w:hint="eastAsia" w:ascii="方正小标宋简体" w:hAnsi="方正小标宋简体" w:eastAsia="方正小标宋简体" w:cs="方正小标宋简体"/>
          <w:b w:val="0"/>
          <w:bCs w:val="0"/>
          <w:color w:val="auto"/>
          <w:sz w:val="44"/>
          <w:szCs w:val="44"/>
        </w:rPr>
        <w:t>公开</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pStyle w:val="2"/>
        <w:pageBreakBefore w:val="0"/>
        <w:tabs>
          <w:tab w:val="left" w:pos="2048"/>
          <w:tab w:val="center" w:pos="5140"/>
        </w:tabs>
        <w:kinsoku/>
        <w:wordWrap/>
        <w:overflowPunct/>
        <w:topLinePunct w:val="0"/>
        <w:autoSpaceDE/>
        <w:autoSpaceDN/>
        <w:bidi w:val="0"/>
        <w:spacing w:beforeLines="-2147483648" w:after="0" w:afterLines="-2147483648"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eastAsia="zh-CN"/>
        </w:rPr>
        <w:t>批复时间：</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u w:val="single"/>
          <w:lang w:eastAsia="zh-CN"/>
        </w:rPr>
        <w:t>202</w:t>
      </w:r>
      <w:r>
        <w:rPr>
          <w:rFonts w:hint="eastAsia" w:ascii="方正小标宋简体" w:hAnsi="方正小标宋简体" w:eastAsia="方正小标宋简体" w:cs="方正小标宋简体"/>
          <w:b w:val="0"/>
          <w:bCs w:val="0"/>
          <w:color w:val="auto"/>
          <w:sz w:val="32"/>
          <w:szCs w:val="32"/>
          <w:u w:val="single"/>
          <w:lang w:val="en-US" w:eastAsia="zh-CN"/>
        </w:rPr>
        <w:t>4</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年</w:t>
      </w:r>
      <w:r>
        <w:rPr>
          <w:rFonts w:hint="eastAsia" w:ascii="方正小标宋简体" w:hAnsi="方正小标宋简体" w:eastAsia="方正小标宋简体" w:cs="方正小标宋简体"/>
          <w:b w:val="0"/>
          <w:bCs w:val="0"/>
          <w:color w:val="auto"/>
          <w:sz w:val="32"/>
          <w:szCs w:val="32"/>
          <w:u w:val="single"/>
          <w:lang w:eastAsia="zh-CN"/>
        </w:rPr>
        <w:t xml:space="preserve">  7  </w:t>
      </w:r>
      <w:r>
        <w:rPr>
          <w:rFonts w:hint="eastAsia" w:ascii="方正小标宋简体" w:hAnsi="方正小标宋简体" w:eastAsia="方正小标宋简体" w:cs="方正小标宋简体"/>
          <w:b w:val="0"/>
          <w:bCs w:val="0"/>
          <w:color w:val="auto"/>
          <w:sz w:val="32"/>
          <w:szCs w:val="32"/>
          <w:lang w:eastAsia="zh-CN"/>
        </w:rPr>
        <w:t>月</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u w:val="single"/>
          <w:lang w:val="en-US" w:eastAsia="zh-CN"/>
        </w:rPr>
        <w:t>11</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日</w:t>
      </w:r>
    </w:p>
    <w:p>
      <w:pPr>
        <w:pStyle w:val="2"/>
        <w:pageBreakBefore w:val="0"/>
        <w:tabs>
          <w:tab w:val="left" w:pos="2048"/>
          <w:tab w:val="center" w:pos="5140"/>
        </w:tabs>
        <w:kinsoku/>
        <w:wordWrap/>
        <w:overflowPunct/>
        <w:topLinePunct w:val="0"/>
        <w:autoSpaceDE/>
        <w:autoSpaceDN/>
        <w:bidi w:val="0"/>
        <w:spacing w:beforeLines="-2147483648" w:after="0" w:afterLines="-2147483648"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eastAsia="zh-CN"/>
        </w:rPr>
        <w:t>公开时间：</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u w:val="single"/>
          <w:lang w:eastAsia="zh-CN"/>
        </w:rPr>
        <w:t>202</w:t>
      </w:r>
      <w:r>
        <w:rPr>
          <w:rFonts w:hint="eastAsia" w:ascii="方正小标宋简体" w:hAnsi="方正小标宋简体" w:eastAsia="方正小标宋简体" w:cs="方正小标宋简体"/>
          <w:b w:val="0"/>
          <w:bCs w:val="0"/>
          <w:color w:val="auto"/>
          <w:sz w:val="32"/>
          <w:szCs w:val="32"/>
          <w:u w:val="single"/>
          <w:lang w:val="en-US" w:eastAsia="zh-CN"/>
        </w:rPr>
        <w:t>4</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年</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u w:val="single"/>
          <w:lang w:val="en-US" w:eastAsia="zh-CN"/>
        </w:rPr>
        <w:t>7</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月</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u w:val="single"/>
          <w:lang w:val="en-US" w:eastAsia="zh-CN"/>
        </w:rPr>
        <w:t xml:space="preserve">30 </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日</w:t>
      </w:r>
    </w:p>
    <w:p>
      <w:pPr>
        <w:pStyle w:val="2"/>
        <w:pageBreakBefore w:val="0"/>
        <w:tabs>
          <w:tab w:val="left" w:pos="2048"/>
          <w:tab w:val="center" w:pos="5140"/>
        </w:tabs>
        <w:kinsoku/>
        <w:wordWrap/>
        <w:overflowPunct/>
        <w:topLinePunct w:val="0"/>
        <w:autoSpaceDE/>
        <w:autoSpaceDN/>
        <w:bidi w:val="0"/>
        <w:spacing w:beforeLines="-2147483648" w:after="0" w:afterLines="-2147483648"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eastAsia="zh-CN"/>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adjustRightInd w:val="0"/>
        <w:snapToGrid w:val="0"/>
        <w:rPr>
          <w:rFonts w:ascii="宋体" w:hAnsi="宋体"/>
          <w:b/>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bookmarkStart w:id="0" w:name="a000"/>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目 录</w:t>
      </w:r>
    </w:p>
    <w:p>
      <w:pPr>
        <w:pStyle w:val="2"/>
      </w:pP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第一部分 单位概况</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一、主要职能、职责</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二、单位机构设置及决算单位构成情况</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三、2023年度单位主要工作完成情况</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单位决算情况说明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七、一般公共预算财政拨款项目支出决算情况说明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八、财政拨款“三公”经费支出决算情况说明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十一、机构运行经费支出决算情况说明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十二、政府采购支出决算情况说明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十三、国有资产占用情况说明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十四、预算绩效情况说明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第三部分 名词解释</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第四部分 决算公开联系方式及信息反馈渠道</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第五部分 单位决算表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一、收入支出决算总表</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二、收入决算表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四、财政拨款收入支出决算总表</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五、一般公共预算财政拨款支出决算表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六、一般公共预算财政拨款基本支出决算明细表</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七、一般公共预算财政拨款项目支出决算明细表</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八、政府性基金预算财政拨款收入支出决算表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九、国有资本经营预算财政拨款支出决算表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十、财政拨款“三公”经费支出决算表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十一、机构运行经费支出、国有资产占用情况及政府采购支出信息表</w:t>
      </w:r>
    </w:p>
    <w:p>
      <w:pPr>
        <w:keepNext w:val="0"/>
        <w:keepLines w:val="0"/>
        <w:pageBreakBefore w:val="0"/>
        <w:widowControl/>
        <w:kinsoku/>
        <w:wordWrap/>
        <w:overflowPunct/>
        <w:topLinePunct w:val="0"/>
        <w:autoSpaceDE/>
        <w:autoSpaceDN/>
        <w:bidi w:val="0"/>
        <w:spacing w:before="240" w:after="240" w:line="580" w:lineRule="exact"/>
        <w:jc w:val="both"/>
        <w:textAlignment w:val="auto"/>
        <w:rPr>
          <w:rFonts w:ascii="Times New Roman" w:hAnsi="Times New Roman" w:eastAsia="Times New Roman" w:cs="Times New Roman"/>
          <w:kern w:val="0"/>
          <w:sz w:val="24"/>
        </w:rPr>
      </w:pPr>
    </w:p>
    <w:p>
      <w:pPr>
        <w:pStyle w:val="2"/>
        <w:rPr>
          <w:rFonts w:ascii="Times New Roman" w:hAnsi="Times New Roman" w:eastAsia="Times New Roman" w:cs="Times New Roman"/>
          <w:kern w:val="0"/>
          <w:sz w:val="24"/>
        </w:rPr>
      </w:pPr>
    </w:p>
    <w:p>
      <w:pPr>
        <w:pStyle w:val="2"/>
        <w:rPr>
          <w:rFonts w:ascii="Times New Roman" w:hAnsi="Times New Roman" w:eastAsia="Times New Roman" w:cs="Times New Roman"/>
          <w:kern w:val="0"/>
          <w:sz w:val="24"/>
        </w:rPr>
      </w:pPr>
    </w:p>
    <w:p>
      <w:pPr>
        <w:pStyle w:val="2"/>
        <w:rPr>
          <w:rFonts w:ascii="Times New Roman" w:hAnsi="Times New Roman" w:eastAsia="Times New Roman" w:cs="Times New Roman"/>
          <w:kern w:val="0"/>
          <w:sz w:val="24"/>
        </w:rPr>
      </w:pPr>
    </w:p>
    <w:p>
      <w:pPr>
        <w:pStyle w:val="2"/>
        <w:rPr>
          <w:rFonts w:ascii="Times New Roman" w:hAnsi="Times New Roman" w:eastAsia="Times New Roman" w:cs="Times New Roman"/>
          <w:kern w:val="0"/>
          <w:sz w:val="24"/>
        </w:rPr>
      </w:pPr>
    </w:p>
    <w:p>
      <w:pPr>
        <w:pStyle w:val="2"/>
        <w:rPr>
          <w:rFonts w:ascii="Times New Roman" w:hAnsi="Times New Roman" w:eastAsia="Times New Roman" w:cs="Times New Roman"/>
          <w:kern w:val="0"/>
          <w:sz w:val="24"/>
        </w:rPr>
      </w:pPr>
    </w:p>
    <w:p>
      <w:pPr>
        <w:pStyle w:val="2"/>
        <w:rPr>
          <w:rFonts w:ascii="Times New Roman" w:hAnsi="Times New Roman" w:eastAsia="Times New Roman" w:cs="Times New Roman"/>
          <w:kern w:val="0"/>
          <w:sz w:val="24"/>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kern w:val="0"/>
          <w:sz w:val="36"/>
          <w:szCs w:val="36"/>
        </w:rPr>
      </w:pPr>
    </w:p>
    <w:p>
      <w:pPr>
        <w:keepNext w:val="0"/>
        <w:keepLines w:val="0"/>
        <w:pageBreakBefore w:val="0"/>
        <w:widowControl/>
        <w:numPr>
          <w:ilvl w:val="0"/>
          <w:numId w:val="2"/>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 xml:space="preserve"> 单位概况</w:t>
      </w:r>
    </w:p>
    <w:p>
      <w:pPr>
        <w:pStyle w:val="2"/>
        <w:numPr>
          <w:ilvl w:val="0"/>
          <w:numId w:val="0"/>
        </w:numPr>
        <w:rPr>
          <w:rFonts w:hint="eastAsia"/>
        </w:rPr>
      </w:pP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一、主要职能、职责</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负责全面依法治市重大问题的政策研究，协调有关方面提出全面依法治市中长期规划建议，负责有关决策部署的督察工作；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承担统筹规划立法工作的责任；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负责起草或者组织起草有关地方性法规和政府规章草案；</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承办市人民政府规章的解释、立法后评估工作；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承担统筹推进法治政府建设的责任；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承担统筹规划法治社会建设的责任；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负责指导、管理全市社区矫正工作，指导全市刑满释放人员帮教安置工作；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拟定全市公共法律服务体系建设规划并指导实施，统筹和布局城乡、区域法律服务资源；</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负责国家统一法律职业资格考试赤峰考区的组织实施工作；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负责全市司法行政系统服装和警车管理工作，指导、监督全市司法行政系统财务、装备、设施、场所等保障工作；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规划、协调、指导全市法治人才队伍建设相关工作，指导、监督全市司法行政队伍建设；</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规划、实施、指导全市司法行政信息化建设；</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管理赤峰市强制隔离戒毒所；</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承担市委全面依法治市委员会日常工作；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15、完成市委、市政府交办的其他任务。</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Times New Roman" w:cs="Times New Roman"/>
          <w:kern w:val="0"/>
          <w:sz w:val="24"/>
        </w:rPr>
      </w:pPr>
      <w:r>
        <w:rPr>
          <w:rFonts w:hint="eastAsia" w:ascii="黑体" w:hAnsi="黑体" w:eastAsia="黑体" w:cs="黑体"/>
          <w:b w:val="0"/>
          <w:bCs w:val="0"/>
          <w:color w:val="auto"/>
          <w:kern w:val="0"/>
          <w:sz w:val="32"/>
          <w:szCs w:val="32"/>
        </w:rPr>
        <w:t>二、单位机构设置及决算单位构成情况</w:t>
      </w:r>
    </w:p>
    <w:p>
      <w:pPr>
        <w:keepNext w:val="0"/>
        <w:keepLines w:val="0"/>
        <w:pageBreakBefore w:val="0"/>
        <w:kinsoku/>
        <w:wordWrap/>
        <w:overflowPunct/>
        <w:topLinePunct w:val="0"/>
        <w:autoSpaceDE/>
        <w:autoSpaceDN/>
        <w:bidi w:val="0"/>
        <w:adjustRightInd/>
        <w:snapToGrid/>
        <w:spacing w:line="580" w:lineRule="exact"/>
        <w:ind w:left="0" w:leftChars="0" w:firstLine="540" w:firstLineChars="200"/>
        <w:jc w:val="both"/>
        <w:textAlignment w:val="auto"/>
        <w:rPr>
          <w:rFonts w:hint="eastAsia" w:ascii="仿宋_GB2312" w:hAnsi="仿宋_GB2312" w:eastAsia="仿宋_GB2312" w:cs="仿宋_GB2312"/>
          <w:color w:val="auto"/>
          <w:kern w:val="0"/>
          <w:sz w:val="32"/>
          <w:szCs w:val="32"/>
        </w:rPr>
      </w:pPr>
      <w:r>
        <w:rPr>
          <w:rFonts w:ascii="times_new_roman" w:hAnsi="times_new_roman" w:eastAsia="times_new_roman" w:cs="times_new_roman"/>
          <w:kern w:val="0"/>
          <w:sz w:val="27"/>
          <w:szCs w:val="27"/>
        </w:rPr>
        <w:t> </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根据单位职责分工，本单位内设机构包括办公室、法治调研与督察科、立法科、复议一科、复议二科、复议三科、行政执法协调监督科、普法与依法治理科、人民参与和促进法治科、社区矫正管理科、公共法律服务管理科、律师工作和法律职业资格管理科，科技信息化科、人事警务科、市委全面依法治市委员会办公室秘书科、机关党组织。本单位下属单位包括：本单位无下属单位。</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从决算单位构成看，纳入本</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rPr>
        <w:t>汇总决算编制范围的预算单位共计1家，具体包括：赤峰市司法局（本级）。详细情况见表：</w:t>
      </w:r>
    </w:p>
    <w:p>
      <w:pPr>
        <w:pStyle w:val="2"/>
        <w:rPr>
          <w:rFonts w:hint="eastAsia"/>
        </w:rPr>
      </w:pPr>
    </w:p>
    <w:tbl>
      <w:tblPr>
        <w:tblStyle w:val="20"/>
        <w:tblW w:w="4561"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137"/>
        <w:gridCol w:w="3502"/>
        <w:gridCol w:w="3573"/>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692" w:type="pct"/>
            <w:tcBorders>
              <w:bottom w:val="inset" w:color="808080" w:sz="6" w:space="0"/>
              <w:right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序号</w:t>
            </w:r>
          </w:p>
        </w:tc>
        <w:tc>
          <w:tcPr>
            <w:tcW w:w="2132"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单位名称</w:t>
            </w:r>
          </w:p>
        </w:tc>
        <w:tc>
          <w:tcPr>
            <w:tcW w:w="2175" w:type="pct"/>
            <w:tcBorders>
              <w:left w:val="inset" w:color="808080" w:sz="6" w:space="0"/>
              <w:bottom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692"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1</w:t>
            </w:r>
          </w:p>
        </w:tc>
        <w:tc>
          <w:tcPr>
            <w:tcW w:w="2132"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lang w:eastAsia="zh-CN"/>
              </w:rPr>
            </w:pPr>
            <w:r>
              <w:rPr>
                <w:rFonts w:hint="eastAsia" w:ascii="仿宋_GB2312" w:hAnsi="仿宋_GB2312" w:eastAsia="仿宋_GB2312" w:cs="仿宋_GB2312"/>
                <w:b w:val="0"/>
                <w:bCs w:val="0"/>
                <w:i w:val="0"/>
                <w:iCs w:val="0"/>
                <w:smallCaps w:val="0"/>
                <w:color w:val="auto"/>
                <w:kern w:val="0"/>
                <w:sz w:val="32"/>
                <w:szCs w:val="32"/>
                <w:lang w:eastAsia="zh-CN"/>
              </w:rPr>
              <w:t>赤峰市司法局（本级）</w:t>
            </w:r>
          </w:p>
        </w:tc>
        <w:tc>
          <w:tcPr>
            <w:tcW w:w="2175"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财政拨款的行政单位</w:t>
            </w:r>
          </w:p>
        </w:tc>
      </w:tr>
    </w:tbl>
    <w:p>
      <w:pPr>
        <w:keepNext w:val="0"/>
        <w:keepLines w:val="0"/>
        <w:pageBreakBefore w:val="0"/>
        <w:widowControl/>
        <w:kinsoku/>
        <w:wordWrap/>
        <w:overflowPunct/>
        <w:topLinePunct w:val="0"/>
        <w:autoSpaceDE/>
        <w:autoSpaceDN/>
        <w:bidi w:val="0"/>
        <w:spacing w:before="240" w:after="240" w:line="580" w:lineRule="exact"/>
        <w:jc w:val="both"/>
        <w:textAlignment w:val="auto"/>
        <w:rPr>
          <w:rFonts w:hint="eastAsia" w:ascii="黑体" w:hAnsi="黑体" w:eastAsia="黑体" w:cs="黑体"/>
          <w:b w:val="0"/>
          <w:bCs w:val="0"/>
          <w:color w:val="auto"/>
          <w:kern w:val="0"/>
          <w:sz w:val="32"/>
          <w:szCs w:val="32"/>
        </w:rPr>
      </w:pPr>
    </w:p>
    <w:p>
      <w:pPr>
        <w:keepNext w:val="0"/>
        <w:keepLines w:val="0"/>
        <w:pageBreakBefore w:val="0"/>
        <w:widowControl/>
        <w:kinsoku/>
        <w:wordWrap/>
        <w:overflowPunct/>
        <w:topLinePunct w:val="0"/>
        <w:autoSpaceDE/>
        <w:autoSpaceDN/>
        <w:bidi w:val="0"/>
        <w:spacing w:before="240" w:after="240" w:line="580" w:lineRule="exact"/>
        <w:ind w:firstLine="640" w:firstLineChars="200"/>
        <w:jc w:val="both"/>
        <w:textAlignment w:val="auto"/>
        <w:rPr>
          <w:rFonts w:hint="eastAsia" w:ascii="黑体" w:hAnsi="黑体" w:eastAsia="黑体" w:cs="黑体"/>
          <w:b w:val="0"/>
          <w:bCs w:val="0"/>
          <w:color w:val="auto"/>
          <w:kern w:val="0"/>
          <w:sz w:val="32"/>
          <w:szCs w:val="32"/>
        </w:rPr>
      </w:pPr>
    </w:p>
    <w:p>
      <w:pPr>
        <w:keepNext w:val="0"/>
        <w:keepLines w:val="0"/>
        <w:pageBreakBefore w:val="0"/>
        <w:widowControl/>
        <w:kinsoku/>
        <w:wordWrap/>
        <w:overflowPunct/>
        <w:topLinePunct w:val="0"/>
        <w:autoSpaceDE/>
        <w:autoSpaceDN/>
        <w:bidi w:val="0"/>
        <w:spacing w:before="240" w:after="240" w:line="580" w:lineRule="exact"/>
        <w:ind w:firstLine="640" w:firstLineChars="200"/>
        <w:jc w:val="both"/>
        <w:textAlignment w:val="auto"/>
        <w:rPr>
          <w:rFonts w:hint="eastAsia" w:ascii="黑体" w:hAnsi="黑体" w:eastAsia="黑体" w:cs="黑体"/>
          <w:b w:val="0"/>
          <w:bCs w:val="0"/>
          <w:color w:val="auto"/>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三、2023年度单位主要工作完成情况</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强化政治统领，党的建设得到全面加强。印发《赤峰市司法局党组理论学习中心组2023年度学习安排方案》，分级、分批开展党的二十大精神学习贯彻政治轮训。截至目前，局党组理论中心组集中学习20次、专题研讨5次，举办主题教育读书班2期，局党组成员及各支部书记带头讲专题党课11次，组织干警职工集中学习80余学时，举办为期一周的新春读书会1期，邀请宣讲团及专家讲座3期，在敖汉干部学院举办基层党务工作者学习贯彻党的二十大精神暨能力提升培训班1期，录播“书记讲微党课”7期，录制原文领读音频两轮85期，确保了学习教育全覆盖、无死角。举办基层党务工作者学习贯彻党的二十大精神暨能力提升培训班，深入开展学习贯彻习近平新时代中国特色社会主义思想主题教育和“感党恩 听党话 跟党走”群众教育实践活动，探索“8个1”学习模式，累计组织先进模范分享学4期、红色故事11期、录制音频120余条，党建平台云端学习2次、专题讲座2次，参观红色基地2次，撰写观后感60余篇。持续加强组织建设，围绕“五个基本”，扎实开展坚强堡垒“模范支部”创建工作。</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统筹协调发力，全面依法治市工作取得新突破。制定法治领域年度计划，印发《2023年全面依法治市工作要点》《进一步推进市县法治建设的具体措施》《2023年法治政府建设计划》《中共赤峰市委全面依法治市委员会执法协调小组2022年依法治市工作汇报和2023年工作安排》《2023年司法行政改革工作要点》和改革任务台账，迎接自治区法治建设第三督察组年度法治建设实地督察，对“一规划两纲要”进行中期评估。开展市县法治建设督察自查工作，完成全市年度法治建设专项督察。完成2022年优秀法治调研文章评选活动，征集2023年法治调研课题43个。</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坚持依法行政，法治政府建设迈上新台阶。制定2023年法治政府建设工作计划，明确2023年度全市法治政府建设年度工作重点。扎实开展法治政府示范创建活动，举办全市法治政府建设工作培训班。制定市政府2023年立法计划，审核市政府常务会议、党组会议议题197件。对全市892名行政执法监督人员进行清理核实，截至目前，全市行政执法监督人员679人，执法人员9750人。以“五个全覆盖”为抓手，持续推进行政复议规范化建设，努力实现行政复议政治效果、法律效果和社会效果相统一，大幅提升行政复议应诉能力。</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强化服务保障，持续优化法治化营商环境。全力办理“蒙企通”案件，2023年共办结案件10件。整合法律援助、律师、公证、司法鉴定、基层法律服务等法律资源，开展“法治助企 安全护航 赤峰律师在行动”“以法为盾护航安全”“百千万活动”，年初以来，累计组织指导企业依法合规经营169次、调处企业矛盾纠纷187次、为153家民营企业开展“法治体检”、发放推送法律政策资料4570余份。持续推进公共法律服务体系建设，印发《赤峰市公共法律服务平台建设标准》《五化协同 四级联动 赤峰市现代公共法律服务体系建设提升方案》。截至目前，全市已建成公共法律服务中心13家，苏木乡镇公共法律服务工作站176家，嘎查村公共法律服务工作室2402个。</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维护社会和谐稳定，筑牢祖国北疆安全稳定屏障。深化党建引领“六联”模式，着力打造“四大调解平台”，全力开展专项排查活动，防范化解矛盾风险。围绕学习推广“枫桥经验”60周年暨习近平总书记指示坚持和发展“枫桥经验”20周年这一主线，开展“服务基层社会平安建设矛盾纠纷排查化解专项行动”，综合运用矛盾纠纷源头预防、排查预警、调解化解等工作措施，扎实推进矛盾纠纷排查化解，做到防范在源头、化解在基层。今年以来，全市调解组织共调解案件26547件，调解协议涉及金额9.3亿。加强社区矫正管控，开发智慧矫正平台“五大功能”，推动戒毒警察参与社区矫正工作，截至目前，全市累计接收社区矫正对象18535人，累计解除17203人。有序推动安置帮教管控，加强刑满释放人员安置衔接，刑满释放安置帮教人员4788人，无重新犯罪事件发生，重点帮教对象衔接率达到100%。</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坚持发展“枫桥经验”，着力打造人民调解升级版。不断健全完善调解工作机制。围绕在法治轨道上推动构建大调解工作格局，深化“三调联动”机制建设，出台《关于建立消费纠纷诉调对接工作机制的实施意见（试行）》《关于建立新就业形态劳动争议诉裁调对接机制的意见》《关于建立保险纠纷诉调对接机制的实施意见（试行）》等相关文件，进一步规范了专行业领域调解工作。充分发挥法律援助与人民调解在预防和化解社会矛盾纠纷方面的职能作用，出台《关于加强法律援助与人民调解对接工作的实施意见》。推进基层婚姻家庭纠纷人民调解工作室建设。按照上级的工作部署要求，市妇联与市司法局联合推进苏木乡镇（街道）、嘎查村（社区）婚姻家庭纠纷人民调解工作室建设，积极做好婚姻家庭矛盾纠纷调解工作。目前已建立婚姻家庭纠纷人民调解工作室181个，调处3512起矛盾纠纷。开展人民调解员等级评定，调动工作积极性。持续推进人民调解员等级评定工作，2023年我市被28名调解员被评为自治区首席调解员，127名调解员被评为自治区一级调解员，市级评出142名二级调解员，进一步激发了调解员荣誉感，调动了工作积极性。</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深入推进“八五”普法，全民守法普法成效显著。持续推进“谁执法谁普法”普法责任制、“三单两书”制度，印发普法任务清单。加强领导干部和青少年重点群体普法工作，开展“人生第一堂法治课”“家长法治课堂”活动。开展全民线上普法活动，截至目前，“八五”普法全民法律知识竞答平台总注册人数48.6万人 ，参与活动总人次980余万。开展“八五”普法中期检查评估，协调相关单位成立评估工作组，对各旗县区和32家市直部门进行了检查评估并配合自治区完成“八五”普法中期评估。深化民主法治示范建设，全面加强“农村学法用法示范户”与“法律明白人”培育工作，截至目前，培育“法律明白人”1575人、“农村学法用法示范户”4471人。</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强化监督执纪问责，持续推进作风建设。年初召开党建暨纪检工作会议，安排部署全面从严治党和党风廉政建设工作。落实</w:t>
      </w:r>
      <w:bookmarkStart w:id="5" w:name="_GoBack"/>
      <w:bookmarkEnd w:id="5"/>
      <w:r>
        <w:rPr>
          <w:rFonts w:hint="eastAsia" w:ascii="仿宋_GB2312" w:hAnsi="仿宋_GB2312" w:eastAsia="仿宋_GB2312" w:cs="仿宋_GB2312"/>
          <w:b w:val="0"/>
          <w:bCs/>
          <w:color w:val="auto"/>
          <w:sz w:val="32"/>
          <w:szCs w:val="32"/>
          <w:lang w:val="en-US" w:eastAsia="zh-CN"/>
        </w:rPr>
        <w:t>全面从严治党主体责任和“一岗双责”，局党组会议专题研究全面从严治党工作，严格执行局党组班子带头下基层调研、纪委书记讲党课，重要时间节点、重大节日廉政提醒谈话等制度。查找廉政风险点并制定防控措施，动态管理完善科级领导干部廉政档案，强化党内监督严格落实“三务公开”。以纪检干部教育整顿年为契机，强化纪律作风建设，积极开展“以案释纪、以案释法”警示教育，开展警示教育活动3次，召开警示教育大会1次，局机关纪委书记、局党组成员讲廉政党课2期，组织节前集体廉政提醒谈话4次，开展明察暗访2次，涵养了风清气正的政治生态。扎实开展党内政治生活庸俗化交易化问题集中治理活动，确保规定动作扎实推进、创新工作有特色。牢固树立勤俭节约宗旨，杜绝超规格接待、超人员陪同，坚决抵制享乐主义和奢靡之风。深入开展“四官”问题专项整治，充分运用执纪监督“四种形态”，机关纪委定期对局机关及所属单位进行明察暗访。</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持续加强党风廉政工作，深化“三务”公开。严格落实意识形态工作责任制，制定了意识形态风险点防控措施清单，加强舆情研判和新闻舆论引导。加强网信工作机制建设，出台了《赤峰市司法行政系统防范化解网络安全和网络舆情风险制度》，组建了231人的网评员队伍，牢牢掌握意识形态工作的主动权。开展“以案释纪、以案释法”警示教育。高度重视党务公开工作，专题研究部署，制定实施方案，确定9类111项公开目录，明确党务公开的内容、范围、方式、时限。落实工作职责，明确责任人和责任部门。截至目前，市司法局共完成党务公开事项65项，其中党内43项，面向社会25项（党内公开和社会公开部分有交叉）。</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统筹一体推进，积极开展模范机关创建工作。严格按照模范机关创建的要求，围绕践行“三个表率”，对标“五个过硬”，以模范机关建设助推司法行政系统工作现代化，为全市经济社会高质量发展提供了坚实的法治保障。精心打造了连心群众的“服务阵地”、根植基因的“文化阵地”、思想教育的“云阵地”、党员干部的“培训阵地”和扎根基层的“实践阵地”五大阵地，为党员群众提供优质服务。以“政治、廉政、宗旨、法治、中华优秀传统文化”为主题，打造机关文化阵地。推进党建工作智能化信息化水平，开发VR党建智慧沙盘、智能电子图版系统，建成“红色堡垒·先锋之声”录播室。</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从严管党治警，全面加强司法行政队伍建设。持续深化“队伍建设提升年”活动，加大培训力度，确保“五个全员培训”。加强人才培养，深入推进机关干部下沉司法所工作，不断优化人员结构，鼓励年轻干部参加法律职业资格考试。激励担当作为，全面落实《司法厅党委激励干部担当作为十条措施》，落实好优待干警政策，不断提升服务基层水平能力。  </w:t>
      </w:r>
    </w:p>
    <w:p>
      <w:pPr>
        <w:keepNext w:val="0"/>
        <w:keepLines w:val="0"/>
        <w:pageBreakBefore w:val="0"/>
        <w:widowControl/>
        <w:kinsoku/>
        <w:wordWrap/>
        <w:overflowPunct/>
        <w:topLinePunct w:val="0"/>
        <w:autoSpaceDE/>
        <w:autoSpaceDN/>
        <w:bidi w:val="0"/>
        <w:spacing w:before="240" w:after="240" w:line="580" w:lineRule="exact"/>
        <w:ind w:firstLine="540" w:firstLineChars="200"/>
        <w:jc w:val="both"/>
        <w:textAlignment w:val="auto"/>
        <w:rPr>
          <w:rFonts w:ascii="fang_song_gb2312" w:hAnsi="fang_song_gb2312" w:eastAsia="fang_song_gb2312" w:cs="fang_song_gb2312"/>
          <w:color w:val="0E00FE"/>
          <w:kern w:val="0"/>
          <w:sz w:val="27"/>
          <w:szCs w:val="27"/>
        </w:rPr>
      </w:pPr>
    </w:p>
    <w:p>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第二部分  单位决算情况说明</w:t>
      </w:r>
    </w:p>
    <w:p>
      <w:pPr>
        <w:rPr>
          <w:rFonts w:hint="eastAsia"/>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一、收入支出决算总体情况说明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2023年度收入、支出决算总计 2,412.04万元。与年初预算相比，收、支总计各增加 364.21万元，增长 17.78%，变动原因：主要为本年增加了退休人员退休费单位承担部分、人员经费等预算资金；与上年决算相比，收、支总计各增加 740.79万元，增长 44.33%。其中：</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（一）收入决算总计 2,412.04万元。包括：</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本年收入决算合计 2,327.58万元。与上年决算相比，增加 680.47万元，增长 41.31%，变动原因：主要为本年度增加普法宣传、社区矫正、基层司法、公共法律服务、法治建设项目收入增加；政法转移支付收入增加。</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使用非财政拨款结余和专用结余 0.00万元。与上年决算相比，增加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3.</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年初结转和结余 84.46万元。与上年决算相比，增加 60.32万元，增长249.92%，变动原因：本年度增加法律职业资格考试考试费、党建经费、模范机关表彰款及人民调解案件录入费。</w:t>
      </w:r>
      <w:r>
        <w:rPr>
          <w:rFonts w:hint="eastAsia" w:ascii="仿宋_GB2312" w:hAnsi="仿宋_GB2312" w:eastAsia="仿宋_GB2312" w:cs="仿宋_GB2312"/>
          <w:color w:val="auto"/>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（二）支出决算总计 2,412.04万元。包括：</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本年支出决算合计 2,346.98万元。与上年决算相比，增加 760.18万元，增长 47.91%，变动原因：主要为本年度普法宣传、社区矫正、基层司法、公共法律服务、法治建设项目支出增加；人员增加导致工资、保险等人员经费增加；新增退休人员工资支出；以及国家法律职业资格考试考务费较上年度增加，其他支出增加。</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结余分配 0.00万元。结余分配事项：</w:t>
      </w:r>
      <w:r>
        <w:rPr>
          <w:rFonts w:hint="eastAsia" w:ascii="仿宋_GB2312" w:hAnsi="仿宋_GB2312" w:eastAsia="仿宋_GB2312" w:cs="仿宋_GB2312"/>
          <w:color w:val="auto"/>
          <w:kern w:val="0"/>
          <w:sz w:val="32"/>
          <w:szCs w:val="32"/>
          <w:lang w:eastAsia="zh-CN"/>
        </w:rPr>
        <w:t>无</w:t>
      </w:r>
      <w:r>
        <w:rPr>
          <w:rFonts w:hint="eastAsia" w:ascii="仿宋_GB2312" w:hAnsi="仿宋_GB2312" w:eastAsia="仿宋_GB2312" w:cs="仿宋_GB2312"/>
          <w:color w:val="auto"/>
          <w:kern w:val="0"/>
          <w:sz w:val="32"/>
          <w:szCs w:val="32"/>
        </w:rPr>
        <w:t>。与上年决算相比，增加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年末结转和结余 65.07万元。结转和结余事项：该结余构成为法律职业资格考试考试费、党建经费、模范机关表彰款及人民调解案件录入费。与上年决算相比，减少 19.39万元，减少 22.96%，变动原因：</w:t>
      </w:r>
      <w:r>
        <w:rPr>
          <w:rFonts w:hint="eastAsia" w:ascii="仿宋_GB2312" w:hAnsi="仿宋_GB2312" w:eastAsia="仿宋_GB2312" w:cs="仿宋_GB2312"/>
          <w:color w:val="auto"/>
          <w:kern w:val="0"/>
          <w:sz w:val="32"/>
          <w:szCs w:val="32"/>
          <w:lang w:eastAsia="zh-CN"/>
        </w:rPr>
        <w:t>主要为本年度</w:t>
      </w:r>
      <w:r>
        <w:rPr>
          <w:rFonts w:hint="eastAsia" w:ascii="仿宋_GB2312" w:hAnsi="仿宋_GB2312" w:eastAsia="仿宋_GB2312" w:cs="仿宋_GB2312"/>
          <w:color w:val="auto"/>
          <w:kern w:val="0"/>
          <w:sz w:val="32"/>
          <w:szCs w:val="32"/>
        </w:rPr>
        <w:t>法律职业资格考试考试费、党建经费及人民调解案件录入费</w:t>
      </w:r>
      <w:r>
        <w:rPr>
          <w:rFonts w:hint="eastAsia" w:ascii="仿宋_GB2312" w:hAnsi="仿宋_GB2312" w:eastAsia="仿宋_GB2312" w:cs="仿宋_GB2312"/>
          <w:color w:val="auto"/>
          <w:kern w:val="0"/>
          <w:sz w:val="32"/>
          <w:szCs w:val="32"/>
          <w:lang w:eastAsia="zh-CN"/>
        </w:rPr>
        <w:t>支出有所增加</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Times New Roman" w:cs="Times New Roman"/>
          <w:kern w:val="0"/>
          <w:sz w:val="24"/>
        </w:rPr>
      </w:pPr>
      <w:r>
        <w:rPr>
          <w:rFonts w:hint="eastAsia" w:ascii="黑体" w:hAnsi="黑体" w:eastAsia="黑体" w:cs="黑体"/>
          <w:b w:val="0"/>
          <w:bCs w:val="0"/>
          <w:color w:val="auto"/>
          <w:kern w:val="0"/>
          <w:sz w:val="32"/>
          <w:szCs w:val="32"/>
          <w:lang w:val="en-US" w:eastAsia="zh-CN"/>
        </w:rPr>
        <w:t>二、收入决算情况说明</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2023年度本年收入决算合计 2,327.58万元，其中：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本年一般公共预算财政拨款收入 2,266.27万元，占 97.37%；</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本年政府性基金预算财政拨款收入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本年国有资本经营预算财政拨款收入 0.00万元，占 0.00%；</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本年上级补助收入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本年事业收入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本年经营收入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本年附属单位上缴收入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本年其他收入 61.31万元，占 2.63%。</w:t>
      </w:r>
    </w:p>
    <w:p>
      <w:pPr>
        <w:pStyle w:val="2"/>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pPr>
        <w:pStyle w:val="2"/>
        <w:ind w:left="0" w:leftChars="0" w:firstLine="0" w:firstLineChars="0"/>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spacing w:before="240" w:after="240" w:line="580" w:lineRule="exact"/>
        <w:ind w:firstLine="405"/>
        <w:jc w:val="center"/>
        <w:textAlignment w:val="auto"/>
        <w:rPr>
          <w:rFonts w:ascii="Times New Roman" w:hAnsi="Times New Roman" w:eastAsia="Times New Roman" w:cs="Times New Roman"/>
          <w:kern w:val="0"/>
          <w:sz w:val="24"/>
        </w:rPr>
      </w:pPr>
      <w:r>
        <w:rPr>
          <w:rFonts w:hint="eastAsia" w:ascii="fang_song_gb2312" w:hAnsi="fang_song_gb2312" w:eastAsia="fang_song_gb2312" w:cs="fang_song_gb2312"/>
          <w:kern w:val="0"/>
          <w:sz w:val="27"/>
          <w:szCs w:val="27"/>
          <w:lang w:eastAsia="zh-CN"/>
        </w:rPr>
        <w:drawing>
          <wp:anchor distT="0" distB="0" distL="114300" distR="114300" simplePos="0" relativeHeight="251658240" behindDoc="0" locked="0" layoutInCell="1" allowOverlap="1">
            <wp:simplePos x="0" y="0"/>
            <wp:positionH relativeFrom="column">
              <wp:align>center</wp:align>
            </wp:positionH>
            <wp:positionV relativeFrom="paragraph">
              <wp:posOffset>-3016885</wp:posOffset>
            </wp:positionV>
            <wp:extent cx="5080000" cy="3371850"/>
            <wp:effectExtent l="4445" t="4445" r="2095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图1.收入决算图</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三、支出决算情况说明</w:t>
      </w:r>
    </w:p>
    <w:p>
      <w:pPr>
        <w:keepNext w:val="0"/>
        <w:keepLines w:val="0"/>
        <w:pageBreakBefore w:val="0"/>
        <w:widowControl/>
        <w:kinsoku/>
        <w:wordWrap/>
        <w:overflowPunct/>
        <w:topLinePunct w:val="0"/>
        <w:autoSpaceDE/>
        <w:autoSpaceDN/>
        <w:bidi w:val="0"/>
        <w:adjustRightInd/>
        <w:snapToGrid/>
        <w:spacing w:line="580" w:lineRule="exact"/>
        <w:ind w:firstLine="540" w:firstLineChars="200"/>
        <w:textAlignment w:val="auto"/>
        <w:rPr>
          <w:rFonts w:hint="eastAsia" w:ascii="仿宋_GB2312" w:hAnsi="仿宋_GB2312" w:eastAsia="仿宋_GB2312" w:cs="仿宋_GB2312"/>
          <w:color w:val="auto"/>
          <w:kern w:val="0"/>
          <w:sz w:val="32"/>
          <w:szCs w:val="32"/>
          <w:u w:val="none"/>
        </w:rPr>
      </w:pPr>
      <w:r>
        <w:rPr>
          <w:rFonts w:ascii="fang_song_gb2312" w:hAnsi="fang_song_gb2312" w:eastAsia="fang_song_gb2312" w:cs="fang_song_gb2312"/>
          <w:kern w:val="0"/>
          <w:sz w:val="27"/>
          <w:szCs w:val="27"/>
        </w:rPr>
        <w:t> </w:t>
      </w:r>
      <w:r>
        <w:rPr>
          <w:rFonts w:hint="eastAsia" w:ascii="仿宋_GB2312" w:hAnsi="仿宋_GB2312" w:eastAsia="仿宋_GB2312" w:cs="仿宋_GB2312"/>
          <w:color w:val="auto"/>
          <w:kern w:val="0"/>
          <w:sz w:val="32"/>
          <w:szCs w:val="32"/>
          <w:u w:val="none"/>
        </w:rPr>
        <w:t>赤峰市司法局（本级） 2023年度本年支出决算合计 2,346.98万元，其中：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本年基本支出 1,541.92万元，占 65.70%；</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本年项目支出 805.05万元，占 34.30%；</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本年上缴上级支出 0.00万元，占 0.00%；</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本年经营支出 0.00万元，占 0.00%；</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本年对附属单位补助支出 0.00万元，占 0.00%。</w:t>
      </w: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keepNext w:val="0"/>
        <w:keepLines w:val="0"/>
        <w:pageBreakBefore w:val="0"/>
        <w:widowControl/>
        <w:kinsoku/>
        <w:wordWrap/>
        <w:overflowPunct/>
        <w:topLinePunct w:val="0"/>
        <w:autoSpaceDE/>
        <w:autoSpaceDN/>
        <w:bidi w:val="0"/>
        <w:spacing w:before="240" w:after="240" w:line="580" w:lineRule="exact"/>
        <w:jc w:val="both"/>
        <w:textAlignment w:val="auto"/>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eastAsia="zh-CN"/>
        </w:rPr>
        <w:drawing>
          <wp:anchor distT="0" distB="0" distL="114300" distR="114300" simplePos="0" relativeHeight="251659264" behindDoc="0" locked="0" layoutInCell="1" allowOverlap="1">
            <wp:simplePos x="0" y="0"/>
            <wp:positionH relativeFrom="column">
              <wp:align>center</wp:align>
            </wp:positionH>
            <wp:positionV relativeFrom="paragraph">
              <wp:posOffset>-3531870</wp:posOffset>
            </wp:positionV>
            <wp:extent cx="5080000" cy="3496310"/>
            <wp:effectExtent l="4445" t="4445" r="20955" b="2349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图2.支出决算图</w:t>
      </w:r>
    </w:p>
    <w:p>
      <w:pPr>
        <w:pStyle w:val="2"/>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赤峰市司法局（本级） 2023年度财政拨款收入、支出决算总计 2,266.27万元，与年初预算相比，收、支总计各增加 218.44万元，增长 10.67%，变动原因：主要为本年增加了退休人员退休费单位承担部分、人员经费等预算资金；与上年决算相比，收、支总计各增加 679.79万元，增长 42.85%，变动原因</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主要为本年度普法宣传、社区矫正、基层司法、公共法律服务、法治建设项目支出增加；人员增加导致工资、保险等人员经费增加；新增退休人员工资支出；以及国家法律职业资格考试考务费较上年度增加，其他支出增加。</w:t>
      </w:r>
    </w:p>
    <w:p>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一般公共预算财政拨款支出决算情况说明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2023年度一般公共预算财政拨款支出决算 2,266.27万元。与年初预算 2,047.84万元相比，完成年初预算的 110.67%。其中：</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lang w:eastAsia="zh-CN"/>
        </w:rPr>
        <w:t>（一）</w:t>
      </w:r>
      <w:r>
        <w:rPr>
          <w:rFonts w:hint="eastAsia" w:ascii="楷体" w:hAnsi="楷体" w:eastAsia="楷体" w:cs="楷体"/>
          <w:b w:val="0"/>
          <w:bCs w:val="0"/>
          <w:color w:val="auto"/>
          <w:kern w:val="0"/>
          <w:sz w:val="32"/>
          <w:szCs w:val="32"/>
        </w:rPr>
        <w:t>一般公共服务（类）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一般公共服务类决算数为 4.15万元，与年初预算相比增加 4.15万元。其中：</w:t>
      </w:r>
    </w:p>
    <w:p>
      <w:pPr>
        <w:keepNext w:val="0"/>
        <w:keepLines w:val="0"/>
        <w:pageBreakBefore w:val="0"/>
        <w:widowControl/>
        <w:numPr>
          <w:ilvl w:val="0"/>
          <w:numId w:val="5"/>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组织事务（款）公务员事务（项）。年初预算0万元，支出决算4.05万元。决算数与年初预算数的差异原因：本年支出2022年度公务员考核奖励金4.05万元（其中司法局本级2.25万元，市强制隔离戒毒所1.8万元），为年中追加预算指标。</w:t>
      </w:r>
    </w:p>
    <w:p>
      <w:pPr>
        <w:keepNext w:val="0"/>
        <w:keepLines w:val="0"/>
        <w:pageBreakBefore w:val="0"/>
        <w:widowControl/>
        <w:numPr>
          <w:ilvl w:val="0"/>
          <w:numId w:val="5"/>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其他一般公共服务支出（款）其他一般公共服务支出（项）。年初预算0万元，支出决算0.1万元。决算数与年初预算数的差异原因：本年支出上年结转信创项目资金0.1万元。</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（二）公共安全（类）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公共安全类决算数为 1,767.89万元，与年初预算相比增加 75.94万元。其中：</w:t>
      </w:r>
    </w:p>
    <w:p>
      <w:pPr>
        <w:keepNext w:val="0"/>
        <w:keepLines w:val="0"/>
        <w:pageBreakBefore w:val="0"/>
        <w:widowControl/>
        <w:numPr>
          <w:ilvl w:val="0"/>
          <w:numId w:val="6"/>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（款）行政运行（项）。年初预算</w:t>
      </w:r>
      <w:r>
        <w:rPr>
          <w:rFonts w:hint="eastAsia" w:ascii="仿宋_GB2312" w:hAnsi="仿宋_GB2312" w:eastAsia="仿宋_GB2312" w:cs="仿宋_GB2312"/>
          <w:color w:val="auto"/>
          <w:kern w:val="2"/>
          <w:sz w:val="32"/>
          <w:szCs w:val="32"/>
          <w:lang w:val="en-US" w:eastAsia="zh-CN"/>
        </w:rPr>
        <w:t>977.93</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1031.8</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105.51</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：本年新考录及</w:t>
      </w:r>
      <w:r>
        <w:rPr>
          <w:rFonts w:hint="eastAsia" w:ascii="仿宋_GB2312" w:hAnsi="仿宋_GB2312" w:eastAsia="仿宋_GB2312" w:cs="仿宋_GB2312"/>
          <w:color w:val="auto"/>
          <w:kern w:val="2"/>
          <w:sz w:val="32"/>
          <w:szCs w:val="32"/>
          <w:lang w:val="en-US" w:eastAsia="zh-CN"/>
        </w:rPr>
        <w:t>0</w:t>
      </w:r>
      <w:r>
        <w:rPr>
          <w:rFonts w:hint="eastAsia" w:ascii="仿宋_GB2312" w:hAnsi="仿宋_GB2312" w:eastAsia="仿宋_GB2312" w:cs="仿宋_GB2312"/>
          <w:color w:val="auto"/>
          <w:kern w:val="2"/>
          <w:sz w:val="32"/>
          <w:szCs w:val="32"/>
          <w:lang w:eastAsia="zh-CN"/>
        </w:rPr>
        <w:t>调入人员，工资及津贴补贴增加。</w:t>
      </w:r>
    </w:p>
    <w:p>
      <w:pPr>
        <w:keepNext w:val="0"/>
        <w:keepLines w:val="0"/>
        <w:pageBreakBefore w:val="0"/>
        <w:widowControl/>
        <w:numPr>
          <w:ilvl w:val="0"/>
          <w:numId w:val="6"/>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一般行政管理事务</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12.75</w:t>
      </w:r>
      <w:r>
        <w:rPr>
          <w:rFonts w:hint="eastAsia" w:ascii="仿宋_GB2312" w:hAnsi="仿宋_GB2312" w:eastAsia="仿宋_GB2312" w:cs="仿宋_GB2312"/>
          <w:color w:val="auto"/>
          <w:kern w:val="2"/>
          <w:sz w:val="32"/>
          <w:szCs w:val="32"/>
        </w:rPr>
        <w:t>万元，支出决算</w:t>
      </w:r>
      <w:r>
        <w:rPr>
          <w:rFonts w:hint="default" w:ascii="仿宋_GB2312" w:hAnsi="仿宋_GB2312" w:eastAsia="仿宋_GB2312" w:cs="仿宋_GB2312"/>
          <w:color w:val="auto"/>
          <w:kern w:val="2"/>
          <w:sz w:val="32"/>
          <w:szCs w:val="32"/>
          <w:lang w:val="en" w:eastAsia="zh-CN"/>
        </w:rPr>
        <w:t>8.17</w:t>
      </w:r>
      <w:r>
        <w:rPr>
          <w:rFonts w:hint="eastAsia" w:ascii="仿宋_GB2312" w:hAnsi="仿宋_GB2312" w:eastAsia="仿宋_GB2312" w:cs="仿宋_GB2312"/>
          <w:color w:val="auto"/>
          <w:kern w:val="2"/>
          <w:sz w:val="32"/>
          <w:szCs w:val="32"/>
        </w:rPr>
        <w:t>万元，完成年初预算的</w:t>
      </w:r>
      <w:r>
        <w:rPr>
          <w:rFonts w:hint="default" w:ascii="仿宋_GB2312" w:hAnsi="仿宋_GB2312" w:eastAsia="仿宋_GB2312" w:cs="仿宋_GB2312"/>
          <w:color w:val="auto"/>
          <w:kern w:val="2"/>
          <w:sz w:val="32"/>
          <w:szCs w:val="32"/>
          <w:lang w:val="en" w:eastAsia="zh-CN"/>
        </w:rPr>
        <w:t>64.08</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本年收到上级拨入法律职业资格考试等其他资金收入，使用该项资金支出本年法律职业资格考试考务费等，计入一般行政管理事务支出</w:t>
      </w:r>
      <w:r>
        <w:rPr>
          <w:rFonts w:hint="eastAsia" w:ascii="仿宋_GB2312" w:hAnsi="仿宋_GB2312" w:eastAsia="仿宋_GB2312" w:cs="仿宋_GB2312"/>
          <w:color w:val="auto"/>
          <w:kern w:val="2"/>
          <w:sz w:val="32"/>
          <w:szCs w:val="32"/>
        </w:rPr>
        <w:t>。</w:t>
      </w:r>
    </w:p>
    <w:p>
      <w:pPr>
        <w:keepNext w:val="0"/>
        <w:keepLines w:val="0"/>
        <w:pageBreakBefore w:val="0"/>
        <w:widowControl/>
        <w:numPr>
          <w:ilvl w:val="0"/>
          <w:numId w:val="6"/>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基层司法业务</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18</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24.1</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133.89</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本年支出上年结转基层司法业务经费项目指标</w:t>
      </w:r>
      <w:r>
        <w:rPr>
          <w:rFonts w:hint="eastAsia" w:ascii="仿宋_GB2312" w:hAnsi="仿宋_GB2312" w:eastAsia="仿宋_GB2312" w:cs="仿宋_GB2312"/>
          <w:color w:val="auto"/>
          <w:kern w:val="2"/>
          <w:sz w:val="32"/>
          <w:szCs w:val="32"/>
        </w:rPr>
        <w:t>。</w:t>
      </w:r>
    </w:p>
    <w:p>
      <w:pPr>
        <w:keepNext w:val="0"/>
        <w:keepLines w:val="0"/>
        <w:pageBreakBefore w:val="0"/>
        <w:widowControl/>
        <w:numPr>
          <w:ilvl w:val="0"/>
          <w:numId w:val="6"/>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普法宣传</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63</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85.7</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136.03</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本年支出上年结转普法宣传经费项目指标。</w:t>
      </w:r>
    </w:p>
    <w:p>
      <w:pPr>
        <w:keepNext w:val="0"/>
        <w:keepLines w:val="0"/>
        <w:pageBreakBefore w:val="0"/>
        <w:widowControl/>
        <w:numPr>
          <w:ilvl w:val="0"/>
          <w:numId w:val="6"/>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公共法律服务</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121.25</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131.38</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108.35</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本年支出上年结转政府购买法律服务项目服务费、公共法律服务工作经费项目指标。</w:t>
      </w:r>
    </w:p>
    <w:p>
      <w:pPr>
        <w:keepNext w:val="0"/>
        <w:keepLines w:val="0"/>
        <w:pageBreakBefore w:val="0"/>
        <w:widowControl/>
        <w:numPr>
          <w:ilvl w:val="0"/>
          <w:numId w:val="6"/>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司法（款）社区矫正（项）。年初预算</w:t>
      </w:r>
      <w:r>
        <w:rPr>
          <w:rFonts w:hint="eastAsia" w:ascii="仿宋_GB2312" w:hAnsi="仿宋_GB2312" w:eastAsia="仿宋_GB2312" w:cs="仿宋_GB2312"/>
          <w:color w:val="auto"/>
          <w:kern w:val="2"/>
          <w:sz w:val="32"/>
          <w:szCs w:val="32"/>
          <w:lang w:val="en-US" w:eastAsia="zh-CN"/>
        </w:rPr>
        <w:t>18</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17.78</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98.78</w:t>
      </w:r>
      <w:r>
        <w:rPr>
          <w:rFonts w:hint="eastAsia" w:ascii="仿宋_GB2312" w:hAnsi="仿宋_GB2312" w:eastAsia="仿宋_GB2312" w:cs="仿宋_GB2312"/>
          <w:color w:val="auto"/>
          <w:kern w:val="2"/>
          <w:sz w:val="32"/>
          <w:szCs w:val="32"/>
        </w:rPr>
        <w:t>%。决算数与年初预算数</w:t>
      </w:r>
      <w:r>
        <w:rPr>
          <w:rFonts w:hint="eastAsia" w:ascii="仿宋_GB2312" w:hAnsi="仿宋_GB2312" w:eastAsia="仿宋_GB2312" w:cs="仿宋_GB2312"/>
          <w:color w:val="auto"/>
          <w:kern w:val="2"/>
          <w:sz w:val="32"/>
          <w:szCs w:val="32"/>
          <w:lang w:eastAsia="zh-CN"/>
        </w:rPr>
        <w:t>无较大</w:t>
      </w:r>
      <w:r>
        <w:rPr>
          <w:rFonts w:hint="eastAsia" w:ascii="仿宋_GB2312" w:hAnsi="仿宋_GB2312" w:eastAsia="仿宋_GB2312" w:cs="仿宋_GB2312"/>
          <w:color w:val="auto"/>
          <w:kern w:val="2"/>
          <w:sz w:val="32"/>
          <w:szCs w:val="32"/>
        </w:rPr>
        <w:t>差异</w:t>
      </w:r>
      <w:r>
        <w:rPr>
          <w:rFonts w:hint="eastAsia" w:ascii="仿宋_GB2312" w:hAnsi="仿宋_GB2312" w:eastAsia="仿宋_GB2312" w:cs="仿宋_GB2312"/>
          <w:color w:val="auto"/>
          <w:kern w:val="2"/>
          <w:sz w:val="32"/>
          <w:szCs w:val="32"/>
          <w:lang w:eastAsia="zh-CN"/>
        </w:rPr>
        <w:t>。</w:t>
      </w:r>
    </w:p>
    <w:p>
      <w:pPr>
        <w:keepNext w:val="0"/>
        <w:keepLines w:val="0"/>
        <w:pageBreakBefore w:val="0"/>
        <w:widowControl/>
        <w:numPr>
          <w:ilvl w:val="0"/>
          <w:numId w:val="6"/>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司法（款）法治建设（项）。年初预算</w:t>
      </w:r>
      <w:r>
        <w:rPr>
          <w:rFonts w:hint="eastAsia" w:ascii="仿宋_GB2312" w:hAnsi="仿宋_GB2312" w:eastAsia="仿宋_GB2312" w:cs="仿宋_GB2312"/>
          <w:color w:val="auto"/>
          <w:kern w:val="2"/>
          <w:sz w:val="32"/>
          <w:szCs w:val="32"/>
          <w:lang w:val="en-US" w:eastAsia="zh-CN"/>
        </w:rPr>
        <w:t>45</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84.82</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188.49</w:t>
      </w:r>
      <w:r>
        <w:rPr>
          <w:rFonts w:hint="eastAsia" w:ascii="仿宋_GB2312" w:hAnsi="仿宋_GB2312" w:eastAsia="仿宋_GB2312" w:cs="仿宋_GB2312"/>
          <w:color w:val="auto"/>
          <w:kern w:val="2"/>
          <w:sz w:val="32"/>
          <w:szCs w:val="32"/>
        </w:rPr>
        <w:t>%。决算数与年初预算数的差异原因：本年支出上年结转</w:t>
      </w:r>
      <w:r>
        <w:rPr>
          <w:rFonts w:hint="eastAsia" w:ascii="仿宋_GB2312" w:hAnsi="仿宋_GB2312" w:eastAsia="仿宋_GB2312" w:cs="仿宋_GB2312"/>
          <w:color w:val="auto"/>
          <w:kern w:val="2"/>
          <w:sz w:val="32"/>
          <w:szCs w:val="32"/>
          <w:lang w:eastAsia="zh-CN"/>
        </w:rPr>
        <w:t>法治建设</w:t>
      </w:r>
      <w:r>
        <w:rPr>
          <w:rFonts w:hint="eastAsia" w:ascii="仿宋_GB2312" w:hAnsi="仿宋_GB2312" w:eastAsia="仿宋_GB2312" w:cs="仿宋_GB2312"/>
          <w:color w:val="auto"/>
          <w:kern w:val="2"/>
          <w:sz w:val="32"/>
          <w:szCs w:val="32"/>
        </w:rPr>
        <w:t>经费项目指标。</w:t>
      </w:r>
    </w:p>
    <w:p>
      <w:pPr>
        <w:keepNext w:val="0"/>
        <w:keepLines w:val="0"/>
        <w:pageBreakBefore w:val="0"/>
        <w:widowControl/>
        <w:numPr>
          <w:ilvl w:val="0"/>
          <w:numId w:val="6"/>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信息化建设</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52</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111.72</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214.85</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部分信息化项目服务费</w:t>
      </w:r>
      <w:r>
        <w:rPr>
          <w:rFonts w:hint="eastAsia" w:ascii="仿宋_GB2312" w:hAnsi="仿宋_GB2312" w:eastAsia="仿宋_GB2312" w:cs="仿宋_GB2312"/>
          <w:color w:val="auto"/>
          <w:kern w:val="2"/>
          <w:sz w:val="32"/>
          <w:szCs w:val="32"/>
          <w:lang w:val="en-US" w:eastAsia="zh-CN"/>
        </w:rPr>
        <w:t>2022年</w:t>
      </w:r>
      <w:r>
        <w:rPr>
          <w:rFonts w:hint="eastAsia" w:ascii="仿宋_GB2312" w:hAnsi="仿宋_GB2312" w:eastAsia="仿宋_GB2312" w:cs="仿宋_GB2312"/>
          <w:color w:val="auto"/>
          <w:kern w:val="2"/>
          <w:sz w:val="32"/>
          <w:szCs w:val="32"/>
          <w:lang w:eastAsia="zh-CN"/>
        </w:rPr>
        <w:t>未到合同期未支付完成，本年度使用上年度结转法治建设经费指标支付服务费</w:t>
      </w:r>
      <w:r>
        <w:rPr>
          <w:rFonts w:hint="eastAsia" w:ascii="仿宋_GB2312" w:hAnsi="仿宋_GB2312" w:eastAsia="仿宋_GB2312" w:cs="仿宋_GB2312"/>
          <w:color w:val="auto"/>
          <w:kern w:val="2"/>
          <w:sz w:val="32"/>
          <w:szCs w:val="32"/>
        </w:rPr>
        <w:t>。</w:t>
      </w:r>
    </w:p>
    <w:p>
      <w:pPr>
        <w:keepNext w:val="0"/>
        <w:keepLines w:val="0"/>
        <w:pageBreakBefore w:val="0"/>
        <w:widowControl/>
        <w:numPr>
          <w:ilvl w:val="0"/>
          <w:numId w:val="6"/>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事业</w:t>
      </w:r>
      <w:r>
        <w:rPr>
          <w:rFonts w:hint="eastAsia" w:ascii="仿宋_GB2312" w:hAnsi="仿宋_GB2312" w:eastAsia="仿宋_GB2312" w:cs="仿宋_GB2312"/>
          <w:color w:val="auto"/>
          <w:kern w:val="2"/>
          <w:sz w:val="32"/>
          <w:szCs w:val="32"/>
        </w:rPr>
        <w:t>运行（项）。年初预算</w:t>
      </w:r>
      <w:r>
        <w:rPr>
          <w:rFonts w:hint="eastAsia" w:ascii="仿宋_GB2312" w:hAnsi="仿宋_GB2312" w:eastAsia="仿宋_GB2312" w:cs="仿宋_GB2312"/>
          <w:color w:val="auto"/>
          <w:kern w:val="2"/>
          <w:sz w:val="32"/>
          <w:szCs w:val="32"/>
          <w:lang w:val="en-US" w:eastAsia="zh-CN"/>
        </w:rPr>
        <w:t>8.3</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11.84</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142.65</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本年使用上年结转事业公用经费及支付</w:t>
      </w:r>
      <w:r>
        <w:rPr>
          <w:rFonts w:hint="eastAsia" w:ascii="仿宋_GB2312" w:hAnsi="仿宋_GB2312" w:eastAsia="仿宋_GB2312" w:cs="仿宋_GB2312"/>
          <w:color w:val="auto"/>
          <w:kern w:val="2"/>
          <w:sz w:val="32"/>
          <w:szCs w:val="32"/>
          <w:lang w:val="en-US" w:eastAsia="zh-CN"/>
        </w:rPr>
        <w:t>1人事业人员工资</w:t>
      </w:r>
      <w:r>
        <w:rPr>
          <w:rFonts w:hint="eastAsia" w:ascii="仿宋_GB2312" w:hAnsi="仿宋_GB2312" w:eastAsia="仿宋_GB2312" w:cs="仿宋_GB2312"/>
          <w:color w:val="auto"/>
          <w:kern w:val="2"/>
          <w:sz w:val="32"/>
          <w:szCs w:val="32"/>
        </w:rPr>
        <w:t>。</w:t>
      </w:r>
    </w:p>
    <w:p>
      <w:pPr>
        <w:keepNext w:val="0"/>
        <w:keepLines w:val="0"/>
        <w:pageBreakBefore w:val="0"/>
        <w:widowControl/>
        <w:numPr>
          <w:ilvl w:val="0"/>
          <w:numId w:val="6"/>
        </w:numPr>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Times New Roman" w:cs="Times New Roman"/>
          <w:kern w:val="0"/>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其他司法支出</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0</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260.58</w:t>
      </w:r>
      <w:r>
        <w:rPr>
          <w:rFonts w:hint="eastAsia" w:ascii="仿宋_GB2312" w:hAnsi="仿宋_GB2312" w:eastAsia="仿宋_GB2312" w:cs="仿宋_GB2312"/>
          <w:color w:val="auto"/>
          <w:kern w:val="2"/>
          <w:sz w:val="32"/>
          <w:szCs w:val="32"/>
        </w:rPr>
        <w:t>万元。决算数与年初预算数的差异原因：支出为本年追加中央和自治区政法转移支付资金支出</w:t>
      </w:r>
      <w:r>
        <w:rPr>
          <w:rFonts w:hint="eastAsia" w:ascii="仿宋_GB2312" w:hAnsi="仿宋_GB2312" w:eastAsia="仿宋_GB2312" w:cs="仿宋_GB2312"/>
          <w:color w:val="auto"/>
          <w:kern w:val="2"/>
          <w:sz w:val="32"/>
          <w:szCs w:val="32"/>
          <w:lang w:eastAsia="zh-CN"/>
        </w:rPr>
        <w:t>用于办案（业务）费和装备费支出</w:t>
      </w:r>
      <w:r>
        <w:rPr>
          <w:rFonts w:hint="eastAsia" w:ascii="仿宋_GB2312" w:hAnsi="仿宋_GB2312" w:eastAsia="仿宋_GB2312" w:cs="仿宋_GB2312"/>
          <w:color w:val="auto"/>
          <w:kern w:val="2"/>
          <w:sz w:val="32"/>
          <w:szCs w:val="32"/>
        </w:rPr>
        <w:t>。</w:t>
      </w:r>
    </w:p>
    <w:p>
      <w:pPr>
        <w:keepNext w:val="0"/>
        <w:keepLines w:val="0"/>
        <w:pageBreakBefore w:val="0"/>
        <w:widowControl/>
        <w:numPr>
          <w:ilvl w:val="0"/>
          <w:numId w:val="7"/>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社会保障和就业支出（类）</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社会保障和就业支出类决算数为 320.01万元，与年初预算相比增加136.17万元。其中：</w:t>
      </w:r>
    </w:p>
    <w:p>
      <w:pPr>
        <w:keepNext w:val="0"/>
        <w:keepLines w:val="0"/>
        <w:pageBreakBefore w:val="0"/>
        <w:numPr>
          <w:ilvl w:val="0"/>
          <w:numId w:val="8"/>
        </w:numPr>
        <w:kinsoku/>
        <w:wordWrap/>
        <w:overflowPunct/>
        <w:topLinePunct w:val="0"/>
        <w:autoSpaceDE/>
        <w:autoSpaceDN/>
        <w:bidi w:val="0"/>
        <w:spacing w:beforeLines="0" w:afterLines="0" w:line="580" w:lineRule="exact"/>
        <w:ind w:firstLine="640" w:firstLineChars="200"/>
        <w:jc w:val="both"/>
        <w:textAlignment w:val="auto"/>
        <w:rPr>
          <w:rFonts w:hint="eastAsia" w:ascii="CESI仿宋-GB18030" w:hAnsi="CESI仿宋-GB18030" w:eastAsia="CESI仿宋-GB18030" w:cs="CESI仿宋-GB18030"/>
          <w:color w:val="auto"/>
          <w:kern w:val="2"/>
          <w:sz w:val="32"/>
          <w:szCs w:val="32"/>
          <w:u w:val="none"/>
        </w:rPr>
      </w:pPr>
      <w:r>
        <w:rPr>
          <w:rFonts w:hint="eastAsia" w:ascii="CESI仿宋-GB18030" w:hAnsi="CESI仿宋-GB18030" w:eastAsia="CESI仿宋-GB18030" w:cs="CESI仿宋-GB18030"/>
          <w:color w:val="000000"/>
          <w:kern w:val="2"/>
          <w:sz w:val="32"/>
          <w:szCs w:val="32"/>
          <w:u w:val="none"/>
        </w:rPr>
        <w:t>行政事业单位养老支出（款）行政单位离退休（项）。年初预算</w:t>
      </w:r>
      <w:r>
        <w:rPr>
          <w:rFonts w:hint="eastAsia" w:ascii="CESI仿宋-GB18030" w:hAnsi="CESI仿宋-GB18030" w:eastAsia="CESI仿宋-GB18030" w:cs="CESI仿宋-GB18030"/>
          <w:color w:val="000000"/>
          <w:kern w:val="2"/>
          <w:sz w:val="32"/>
          <w:szCs w:val="32"/>
          <w:u w:val="none"/>
          <w:lang w:val="en-US" w:eastAsia="zh-CN"/>
        </w:rPr>
        <w:t>91.25</w:t>
      </w:r>
      <w:r>
        <w:rPr>
          <w:rFonts w:hint="eastAsia" w:ascii="CESI仿宋-GB18030" w:hAnsi="CESI仿宋-GB18030" w:eastAsia="CESI仿宋-GB18030" w:cs="CESI仿宋-GB18030"/>
          <w:color w:val="000000"/>
          <w:kern w:val="2"/>
          <w:sz w:val="32"/>
          <w:szCs w:val="32"/>
          <w:u w:val="none"/>
        </w:rPr>
        <w:t>万元，支出决算</w:t>
      </w:r>
      <w:r>
        <w:rPr>
          <w:rFonts w:hint="eastAsia" w:ascii="CESI仿宋-GB18030" w:hAnsi="CESI仿宋-GB18030" w:eastAsia="CESI仿宋-GB18030" w:cs="CESI仿宋-GB18030"/>
          <w:color w:val="000000"/>
          <w:kern w:val="2"/>
          <w:sz w:val="32"/>
          <w:szCs w:val="32"/>
          <w:u w:val="none"/>
          <w:lang w:val="en-US" w:eastAsia="zh-CN"/>
        </w:rPr>
        <w:t>82.5</w:t>
      </w:r>
      <w:r>
        <w:rPr>
          <w:rFonts w:hint="eastAsia" w:ascii="CESI仿宋-GB18030" w:hAnsi="CESI仿宋-GB18030" w:eastAsia="CESI仿宋-GB18030" w:cs="CESI仿宋-GB18030"/>
          <w:color w:val="000000"/>
          <w:kern w:val="2"/>
          <w:sz w:val="32"/>
          <w:szCs w:val="32"/>
          <w:u w:val="none"/>
        </w:rPr>
        <w:t>万元，完成年初预算的</w:t>
      </w:r>
      <w:r>
        <w:rPr>
          <w:rFonts w:hint="eastAsia" w:ascii="CESI仿宋-GB18030" w:hAnsi="CESI仿宋-GB18030" w:eastAsia="CESI仿宋-GB18030" w:cs="CESI仿宋-GB18030"/>
          <w:color w:val="000000"/>
          <w:kern w:val="2"/>
          <w:sz w:val="32"/>
          <w:szCs w:val="32"/>
          <w:u w:val="none"/>
          <w:lang w:val="en-US" w:eastAsia="zh-CN"/>
        </w:rPr>
        <w:t>90.41</w:t>
      </w:r>
      <w:r>
        <w:rPr>
          <w:rFonts w:hint="eastAsia" w:ascii="CESI仿宋-GB18030" w:hAnsi="CESI仿宋-GB18030" w:eastAsia="CESI仿宋-GB18030" w:cs="CESI仿宋-GB18030"/>
          <w:color w:val="000000"/>
          <w:kern w:val="2"/>
          <w:sz w:val="32"/>
          <w:szCs w:val="32"/>
          <w:u w:val="none"/>
        </w:rPr>
        <w:t>%。决算数与年初预算数的差异原因</w:t>
      </w:r>
      <w:r>
        <w:rPr>
          <w:rFonts w:hint="eastAsia" w:ascii="CESI仿宋-GB18030" w:hAnsi="CESI仿宋-GB18030" w:eastAsia="CESI仿宋-GB18030" w:cs="CESI仿宋-GB18030"/>
          <w:color w:val="auto"/>
          <w:kern w:val="2"/>
          <w:sz w:val="32"/>
          <w:szCs w:val="32"/>
          <w:u w:val="none"/>
        </w:rPr>
        <w:t>：</w:t>
      </w:r>
      <w:r>
        <w:rPr>
          <w:rFonts w:hint="eastAsia" w:ascii="CESI仿宋-GB18030" w:hAnsi="CESI仿宋-GB18030" w:eastAsia="CESI仿宋-GB18030" w:cs="CESI仿宋-GB18030"/>
          <w:color w:val="auto"/>
          <w:kern w:val="2"/>
          <w:sz w:val="32"/>
          <w:szCs w:val="32"/>
          <w:u w:val="none"/>
          <w:lang w:eastAsia="zh-CN"/>
        </w:rPr>
        <w:t>本年离休人员减少</w:t>
      </w:r>
      <w:r>
        <w:rPr>
          <w:rFonts w:hint="eastAsia" w:ascii="CESI仿宋-GB18030" w:hAnsi="CESI仿宋-GB18030" w:eastAsia="CESI仿宋-GB18030" w:cs="CESI仿宋-GB18030"/>
          <w:color w:val="auto"/>
          <w:kern w:val="2"/>
          <w:sz w:val="32"/>
          <w:szCs w:val="32"/>
          <w:u w:val="none"/>
          <w:lang w:val="en-US" w:eastAsia="zh-CN"/>
        </w:rPr>
        <w:t>2人，</w:t>
      </w:r>
      <w:r>
        <w:rPr>
          <w:rFonts w:hint="eastAsia" w:ascii="CESI仿宋-GB18030" w:hAnsi="CESI仿宋-GB18030" w:eastAsia="CESI仿宋-GB18030" w:cs="CESI仿宋-GB18030"/>
          <w:color w:val="auto"/>
          <w:kern w:val="2"/>
          <w:sz w:val="32"/>
          <w:szCs w:val="32"/>
          <w:u w:val="none"/>
          <w:lang w:eastAsia="zh-CN"/>
        </w:rPr>
        <w:t>工资减少</w:t>
      </w:r>
      <w:r>
        <w:rPr>
          <w:rFonts w:hint="eastAsia" w:ascii="CESI仿宋-GB18030" w:hAnsi="CESI仿宋-GB18030" w:eastAsia="CESI仿宋-GB18030" w:cs="CESI仿宋-GB18030"/>
          <w:color w:val="auto"/>
          <w:kern w:val="2"/>
          <w:sz w:val="32"/>
          <w:szCs w:val="32"/>
          <w:u w:val="none"/>
        </w:rPr>
        <w:t>。</w:t>
      </w:r>
    </w:p>
    <w:p>
      <w:pPr>
        <w:keepNext w:val="0"/>
        <w:keepLines w:val="0"/>
        <w:pageBreakBefore w:val="0"/>
        <w:numPr>
          <w:ilvl w:val="0"/>
          <w:numId w:val="8"/>
        </w:numPr>
        <w:kinsoku/>
        <w:wordWrap/>
        <w:overflowPunct/>
        <w:topLinePunct w:val="0"/>
        <w:autoSpaceDE/>
        <w:autoSpaceDN/>
        <w:bidi w:val="0"/>
        <w:spacing w:beforeLines="0" w:afterLines="0" w:line="580" w:lineRule="exact"/>
        <w:ind w:left="0" w:leftChars="0" w:firstLine="640" w:firstLineChars="200"/>
        <w:jc w:val="both"/>
        <w:textAlignment w:val="auto"/>
        <w:rPr>
          <w:rFonts w:hint="eastAsia" w:ascii="CESI仿宋-GB18030" w:hAnsi="CESI仿宋-GB18030" w:eastAsia="CESI仿宋-GB18030" w:cs="CESI仿宋-GB18030"/>
          <w:color w:val="000000"/>
          <w:kern w:val="2"/>
          <w:sz w:val="32"/>
          <w:szCs w:val="32"/>
          <w:u w:val="none"/>
        </w:rPr>
      </w:pPr>
      <w:r>
        <w:rPr>
          <w:rFonts w:hint="eastAsia" w:ascii="CESI仿宋-GB18030" w:hAnsi="CESI仿宋-GB18030" w:eastAsia="CESI仿宋-GB18030" w:cs="CESI仿宋-GB18030"/>
          <w:color w:val="000000"/>
          <w:kern w:val="2"/>
          <w:sz w:val="32"/>
          <w:szCs w:val="32"/>
          <w:u w:val="none"/>
        </w:rPr>
        <w:t>行政事业单位养老支出（款）</w:t>
      </w:r>
      <w:r>
        <w:rPr>
          <w:rFonts w:hint="eastAsia" w:ascii="CESI仿宋-GB18030" w:hAnsi="CESI仿宋-GB18030" w:eastAsia="CESI仿宋-GB18030" w:cs="CESI仿宋-GB18030"/>
          <w:color w:val="000000"/>
          <w:kern w:val="2"/>
          <w:sz w:val="32"/>
          <w:szCs w:val="32"/>
          <w:u w:val="none"/>
          <w:lang w:eastAsia="zh-CN"/>
        </w:rPr>
        <w:t>机关事业单位基本养老保险缴费支出</w:t>
      </w:r>
      <w:r>
        <w:rPr>
          <w:rFonts w:hint="eastAsia" w:ascii="CESI仿宋-GB18030" w:hAnsi="CESI仿宋-GB18030" w:eastAsia="CESI仿宋-GB18030" w:cs="CESI仿宋-GB18030"/>
          <w:color w:val="000000"/>
          <w:kern w:val="2"/>
          <w:sz w:val="32"/>
          <w:szCs w:val="32"/>
          <w:u w:val="none"/>
        </w:rPr>
        <w:t>（项）。年初预算</w:t>
      </w:r>
      <w:r>
        <w:rPr>
          <w:rFonts w:hint="eastAsia" w:ascii="CESI仿宋-GB18030" w:hAnsi="CESI仿宋-GB18030" w:eastAsia="CESI仿宋-GB18030" w:cs="CESI仿宋-GB18030"/>
          <w:color w:val="000000"/>
          <w:kern w:val="2"/>
          <w:sz w:val="32"/>
          <w:szCs w:val="32"/>
          <w:u w:val="none"/>
          <w:lang w:val="en-US" w:eastAsia="zh-CN"/>
        </w:rPr>
        <w:t>91.06</w:t>
      </w:r>
      <w:r>
        <w:rPr>
          <w:rFonts w:hint="eastAsia" w:ascii="CESI仿宋-GB18030" w:hAnsi="CESI仿宋-GB18030" w:eastAsia="CESI仿宋-GB18030" w:cs="CESI仿宋-GB18030"/>
          <w:color w:val="000000"/>
          <w:kern w:val="2"/>
          <w:sz w:val="32"/>
          <w:szCs w:val="32"/>
          <w:u w:val="none"/>
        </w:rPr>
        <w:t>万元，支出决算</w:t>
      </w:r>
      <w:r>
        <w:rPr>
          <w:rFonts w:hint="eastAsia" w:ascii="CESI仿宋-GB18030" w:hAnsi="CESI仿宋-GB18030" w:eastAsia="CESI仿宋-GB18030" w:cs="CESI仿宋-GB18030"/>
          <w:color w:val="000000"/>
          <w:kern w:val="2"/>
          <w:sz w:val="32"/>
          <w:szCs w:val="32"/>
          <w:u w:val="none"/>
          <w:lang w:val="en-US" w:eastAsia="zh-CN"/>
        </w:rPr>
        <w:t>91.31</w:t>
      </w:r>
      <w:r>
        <w:rPr>
          <w:rFonts w:hint="eastAsia" w:ascii="CESI仿宋-GB18030" w:hAnsi="CESI仿宋-GB18030" w:eastAsia="CESI仿宋-GB18030" w:cs="CESI仿宋-GB18030"/>
          <w:color w:val="000000"/>
          <w:kern w:val="2"/>
          <w:sz w:val="32"/>
          <w:szCs w:val="32"/>
          <w:u w:val="none"/>
        </w:rPr>
        <w:t>万元，完成年初预算的</w:t>
      </w:r>
      <w:r>
        <w:rPr>
          <w:rFonts w:hint="eastAsia" w:ascii="CESI仿宋-GB18030" w:hAnsi="CESI仿宋-GB18030" w:eastAsia="CESI仿宋-GB18030" w:cs="CESI仿宋-GB18030"/>
          <w:color w:val="000000"/>
          <w:kern w:val="2"/>
          <w:sz w:val="32"/>
          <w:szCs w:val="32"/>
          <w:u w:val="none"/>
          <w:lang w:val="en-US" w:eastAsia="zh-CN"/>
        </w:rPr>
        <w:t>100.27</w:t>
      </w:r>
      <w:r>
        <w:rPr>
          <w:rFonts w:hint="eastAsia" w:ascii="CESI仿宋-GB18030" w:hAnsi="CESI仿宋-GB18030" w:eastAsia="CESI仿宋-GB18030" w:cs="CESI仿宋-GB18030"/>
          <w:color w:val="000000"/>
          <w:kern w:val="2"/>
          <w:sz w:val="32"/>
          <w:szCs w:val="32"/>
          <w:u w:val="none"/>
        </w:rPr>
        <w:t>%。决算数与年初预算数的差异原因：</w:t>
      </w:r>
      <w:r>
        <w:rPr>
          <w:rFonts w:hint="eastAsia" w:ascii="CESI仿宋-GB18030" w:hAnsi="CESI仿宋-GB18030" w:eastAsia="CESI仿宋-GB18030" w:cs="CESI仿宋-GB18030"/>
          <w:color w:val="000000"/>
          <w:kern w:val="2"/>
          <w:sz w:val="32"/>
          <w:szCs w:val="32"/>
          <w:u w:val="none"/>
          <w:lang w:eastAsia="zh-CN"/>
        </w:rPr>
        <w:t>养老保险缴费基数调整及人员增加</w:t>
      </w:r>
      <w:r>
        <w:rPr>
          <w:rFonts w:hint="eastAsia" w:ascii="CESI仿宋-GB18030" w:hAnsi="CESI仿宋-GB18030" w:eastAsia="CESI仿宋-GB18030" w:cs="CESI仿宋-GB18030"/>
          <w:color w:val="000000"/>
          <w:kern w:val="2"/>
          <w:sz w:val="32"/>
          <w:szCs w:val="32"/>
          <w:u w:val="none"/>
        </w:rPr>
        <w:t>。</w:t>
      </w:r>
    </w:p>
    <w:p>
      <w:pPr>
        <w:keepNext w:val="0"/>
        <w:keepLines w:val="0"/>
        <w:pageBreakBefore w:val="0"/>
        <w:numPr>
          <w:ilvl w:val="0"/>
          <w:numId w:val="8"/>
        </w:numPr>
        <w:kinsoku/>
        <w:wordWrap/>
        <w:overflowPunct/>
        <w:topLinePunct w:val="0"/>
        <w:autoSpaceDE/>
        <w:autoSpaceDN/>
        <w:bidi w:val="0"/>
        <w:spacing w:beforeLines="0" w:afterLines="0" w:line="580" w:lineRule="exact"/>
        <w:ind w:left="0" w:leftChars="0" w:firstLine="640" w:firstLineChars="200"/>
        <w:jc w:val="both"/>
        <w:textAlignment w:val="auto"/>
        <w:rPr>
          <w:rFonts w:hint="eastAsia" w:ascii="CESI仿宋-GB18030" w:hAnsi="CESI仿宋-GB18030" w:eastAsia="CESI仿宋-GB18030" w:cs="CESI仿宋-GB18030"/>
          <w:color w:val="auto"/>
          <w:kern w:val="2"/>
          <w:sz w:val="32"/>
          <w:szCs w:val="32"/>
          <w:u w:val="none"/>
          <w:lang w:eastAsia="zh-CN"/>
        </w:rPr>
      </w:pPr>
      <w:r>
        <w:rPr>
          <w:rFonts w:hint="eastAsia" w:ascii="CESI仿宋-GB18030" w:hAnsi="CESI仿宋-GB18030" w:eastAsia="CESI仿宋-GB18030" w:cs="CESI仿宋-GB18030"/>
          <w:color w:val="000000"/>
          <w:kern w:val="2"/>
          <w:sz w:val="32"/>
          <w:szCs w:val="32"/>
          <w:u w:val="none"/>
          <w:lang w:eastAsia="zh-CN"/>
        </w:rPr>
        <w:t>抚恤（款）死亡抚恤（项）。年</w:t>
      </w:r>
      <w:r>
        <w:rPr>
          <w:rFonts w:hint="eastAsia" w:ascii="CESI仿宋-GB18030" w:hAnsi="CESI仿宋-GB18030" w:eastAsia="CESI仿宋-GB18030" w:cs="CESI仿宋-GB18030"/>
          <w:color w:val="000000"/>
          <w:kern w:val="2"/>
          <w:sz w:val="32"/>
          <w:szCs w:val="32"/>
          <w:u w:val="none"/>
        </w:rPr>
        <w:t>初预算</w:t>
      </w:r>
      <w:r>
        <w:rPr>
          <w:rFonts w:hint="eastAsia" w:ascii="CESI仿宋-GB18030" w:hAnsi="CESI仿宋-GB18030" w:eastAsia="CESI仿宋-GB18030" w:cs="CESI仿宋-GB18030"/>
          <w:color w:val="000000"/>
          <w:kern w:val="2"/>
          <w:sz w:val="32"/>
          <w:szCs w:val="32"/>
          <w:u w:val="none"/>
          <w:lang w:val="en-US" w:eastAsia="zh-CN"/>
        </w:rPr>
        <w:t>0</w:t>
      </w:r>
      <w:r>
        <w:rPr>
          <w:rFonts w:hint="eastAsia" w:ascii="CESI仿宋-GB18030" w:hAnsi="CESI仿宋-GB18030" w:eastAsia="CESI仿宋-GB18030" w:cs="CESI仿宋-GB18030"/>
          <w:color w:val="000000"/>
          <w:kern w:val="2"/>
          <w:sz w:val="32"/>
          <w:szCs w:val="32"/>
          <w:u w:val="none"/>
        </w:rPr>
        <w:t>万元，支出决算</w:t>
      </w:r>
      <w:r>
        <w:rPr>
          <w:rFonts w:hint="eastAsia" w:ascii="CESI仿宋-GB18030" w:hAnsi="CESI仿宋-GB18030" w:eastAsia="CESI仿宋-GB18030" w:cs="CESI仿宋-GB18030"/>
          <w:color w:val="000000"/>
          <w:kern w:val="2"/>
          <w:sz w:val="32"/>
          <w:szCs w:val="32"/>
          <w:u w:val="none"/>
          <w:lang w:val="en-US" w:eastAsia="zh-CN"/>
        </w:rPr>
        <w:t>144.4</w:t>
      </w:r>
      <w:r>
        <w:rPr>
          <w:rFonts w:hint="eastAsia" w:ascii="CESI仿宋-GB18030" w:hAnsi="CESI仿宋-GB18030" w:eastAsia="CESI仿宋-GB18030" w:cs="CESI仿宋-GB18030"/>
          <w:color w:val="000000"/>
          <w:kern w:val="2"/>
          <w:sz w:val="32"/>
          <w:szCs w:val="32"/>
          <w:u w:val="none"/>
        </w:rPr>
        <w:t>万元。决算数与年初预算数的差异原因</w:t>
      </w:r>
      <w:r>
        <w:rPr>
          <w:rFonts w:hint="eastAsia" w:ascii="CESI仿宋-GB18030" w:hAnsi="CESI仿宋-GB18030" w:eastAsia="CESI仿宋-GB18030" w:cs="CESI仿宋-GB18030"/>
          <w:color w:val="auto"/>
          <w:kern w:val="2"/>
          <w:sz w:val="32"/>
          <w:szCs w:val="32"/>
          <w:u w:val="none"/>
        </w:rPr>
        <w:t>：</w:t>
      </w:r>
      <w:r>
        <w:rPr>
          <w:rFonts w:hint="eastAsia" w:ascii="CESI仿宋-GB18030" w:hAnsi="CESI仿宋-GB18030" w:eastAsia="CESI仿宋-GB18030" w:cs="CESI仿宋-GB18030"/>
          <w:color w:val="000000"/>
          <w:kern w:val="2"/>
          <w:sz w:val="32"/>
          <w:szCs w:val="32"/>
        </w:rPr>
        <w:t>支出为本年追加</w:t>
      </w:r>
      <w:r>
        <w:rPr>
          <w:rFonts w:hint="eastAsia" w:ascii="CESI仿宋-GB18030" w:hAnsi="CESI仿宋-GB18030" w:eastAsia="CESI仿宋-GB18030" w:cs="CESI仿宋-GB18030"/>
          <w:color w:val="000000"/>
          <w:kern w:val="2"/>
          <w:sz w:val="32"/>
          <w:szCs w:val="32"/>
          <w:lang w:eastAsia="zh-CN"/>
        </w:rPr>
        <w:t>死亡抚恤金预算，</w:t>
      </w:r>
      <w:r>
        <w:rPr>
          <w:rFonts w:hint="eastAsia" w:ascii="CESI仿宋-GB18030" w:hAnsi="CESI仿宋-GB18030" w:eastAsia="CESI仿宋-GB18030" w:cs="CESI仿宋-GB18030"/>
          <w:color w:val="auto"/>
          <w:kern w:val="2"/>
          <w:sz w:val="32"/>
          <w:szCs w:val="32"/>
          <w:u w:val="none"/>
          <w:lang w:eastAsia="zh-CN"/>
        </w:rPr>
        <w:t>本年离休人员去世</w:t>
      </w:r>
      <w:r>
        <w:rPr>
          <w:rFonts w:hint="eastAsia" w:ascii="CESI仿宋-GB18030" w:hAnsi="CESI仿宋-GB18030" w:eastAsia="CESI仿宋-GB18030" w:cs="CESI仿宋-GB18030"/>
          <w:color w:val="auto"/>
          <w:kern w:val="2"/>
          <w:sz w:val="32"/>
          <w:szCs w:val="32"/>
          <w:u w:val="none"/>
          <w:lang w:val="en-US" w:eastAsia="zh-CN"/>
        </w:rPr>
        <w:t>2人，</w:t>
      </w:r>
      <w:r>
        <w:rPr>
          <w:rFonts w:hint="eastAsia" w:ascii="CESI仿宋-GB18030" w:hAnsi="CESI仿宋-GB18030" w:eastAsia="CESI仿宋-GB18030" w:cs="CESI仿宋-GB18030"/>
          <w:color w:val="auto"/>
          <w:kern w:val="2"/>
          <w:sz w:val="32"/>
          <w:szCs w:val="32"/>
          <w:u w:val="none"/>
          <w:lang w:eastAsia="zh-CN"/>
        </w:rPr>
        <w:t>产生死亡抚恤金支出</w:t>
      </w:r>
      <w:r>
        <w:rPr>
          <w:rFonts w:hint="eastAsia" w:ascii="CESI仿宋-GB18030" w:hAnsi="CESI仿宋-GB18030" w:eastAsia="CESI仿宋-GB18030" w:cs="CESI仿宋-GB18030"/>
          <w:color w:val="auto"/>
          <w:kern w:val="2"/>
          <w:sz w:val="32"/>
          <w:szCs w:val="32"/>
          <w:u w:val="none"/>
        </w:rPr>
        <w:t>。</w:t>
      </w:r>
    </w:p>
    <w:p>
      <w:pPr>
        <w:keepNext w:val="0"/>
        <w:keepLines w:val="0"/>
        <w:pageBreakBefore w:val="0"/>
        <w:numPr>
          <w:ilvl w:val="0"/>
          <w:numId w:val="8"/>
        </w:numPr>
        <w:kinsoku/>
        <w:wordWrap/>
        <w:overflowPunct/>
        <w:topLinePunct w:val="0"/>
        <w:autoSpaceDE/>
        <w:autoSpaceDN/>
        <w:bidi w:val="0"/>
        <w:spacing w:beforeLines="0" w:afterLines="0" w:line="580" w:lineRule="exact"/>
        <w:ind w:left="0" w:leftChars="0" w:firstLine="640" w:firstLineChars="200"/>
        <w:jc w:val="both"/>
        <w:textAlignment w:val="auto"/>
        <w:rPr>
          <w:rFonts w:hint="eastAsia" w:ascii="CESI仿宋-GB18030" w:hAnsi="CESI仿宋-GB18030" w:eastAsia="CESI仿宋-GB18030" w:cs="CESI仿宋-GB18030"/>
          <w:kern w:val="0"/>
          <w:sz w:val="32"/>
          <w:szCs w:val="32"/>
        </w:rPr>
      </w:pPr>
      <w:r>
        <w:rPr>
          <w:rFonts w:hint="eastAsia" w:ascii="CESI仿宋-GB18030" w:hAnsi="CESI仿宋-GB18030" w:eastAsia="CESI仿宋-GB18030" w:cs="CESI仿宋-GB18030"/>
          <w:color w:val="000000"/>
          <w:kern w:val="2"/>
          <w:sz w:val="32"/>
          <w:szCs w:val="32"/>
          <w:u w:val="none"/>
          <w:lang w:eastAsia="zh-CN"/>
        </w:rPr>
        <w:t>其他社会保障和就业</w:t>
      </w:r>
      <w:r>
        <w:rPr>
          <w:rFonts w:hint="eastAsia" w:ascii="CESI仿宋-GB18030" w:hAnsi="CESI仿宋-GB18030" w:eastAsia="CESI仿宋-GB18030" w:cs="CESI仿宋-GB18030"/>
          <w:color w:val="000000"/>
          <w:kern w:val="2"/>
          <w:sz w:val="32"/>
          <w:szCs w:val="32"/>
          <w:u w:val="none"/>
        </w:rPr>
        <w:t>支出（款）</w:t>
      </w:r>
      <w:r>
        <w:rPr>
          <w:rFonts w:hint="eastAsia" w:ascii="CESI仿宋-GB18030" w:hAnsi="CESI仿宋-GB18030" w:eastAsia="CESI仿宋-GB18030" w:cs="CESI仿宋-GB18030"/>
          <w:color w:val="000000"/>
          <w:kern w:val="2"/>
          <w:sz w:val="32"/>
          <w:szCs w:val="32"/>
          <w:u w:val="none"/>
          <w:lang w:eastAsia="zh-CN"/>
        </w:rPr>
        <w:t>其他社会保障和就业</w:t>
      </w:r>
      <w:r>
        <w:rPr>
          <w:rFonts w:hint="eastAsia" w:ascii="CESI仿宋-GB18030" w:hAnsi="CESI仿宋-GB18030" w:eastAsia="CESI仿宋-GB18030" w:cs="CESI仿宋-GB18030"/>
          <w:color w:val="000000"/>
          <w:kern w:val="2"/>
          <w:sz w:val="32"/>
          <w:szCs w:val="32"/>
          <w:u w:val="none"/>
        </w:rPr>
        <w:t>支出（项）。年初预算</w:t>
      </w:r>
      <w:r>
        <w:rPr>
          <w:rFonts w:hint="eastAsia" w:ascii="CESI仿宋-GB18030" w:hAnsi="CESI仿宋-GB18030" w:eastAsia="CESI仿宋-GB18030" w:cs="CESI仿宋-GB18030"/>
          <w:color w:val="000000"/>
          <w:kern w:val="2"/>
          <w:sz w:val="32"/>
          <w:szCs w:val="32"/>
          <w:u w:val="none"/>
          <w:lang w:val="en-US" w:eastAsia="zh-CN"/>
        </w:rPr>
        <w:t>1.54</w:t>
      </w:r>
      <w:r>
        <w:rPr>
          <w:rFonts w:hint="eastAsia" w:ascii="CESI仿宋-GB18030" w:hAnsi="CESI仿宋-GB18030" w:eastAsia="CESI仿宋-GB18030" w:cs="CESI仿宋-GB18030"/>
          <w:color w:val="000000"/>
          <w:kern w:val="2"/>
          <w:sz w:val="32"/>
          <w:szCs w:val="32"/>
          <w:u w:val="none"/>
        </w:rPr>
        <w:t>万元，支出决算</w:t>
      </w:r>
      <w:r>
        <w:rPr>
          <w:rFonts w:hint="eastAsia" w:ascii="CESI仿宋-GB18030" w:hAnsi="CESI仿宋-GB18030" w:eastAsia="CESI仿宋-GB18030" w:cs="CESI仿宋-GB18030"/>
          <w:color w:val="000000"/>
          <w:kern w:val="2"/>
          <w:sz w:val="32"/>
          <w:szCs w:val="32"/>
          <w:u w:val="none"/>
          <w:lang w:val="en-US" w:eastAsia="zh-CN"/>
        </w:rPr>
        <w:t>1.8</w:t>
      </w:r>
      <w:r>
        <w:rPr>
          <w:rFonts w:hint="eastAsia" w:ascii="CESI仿宋-GB18030" w:hAnsi="CESI仿宋-GB18030" w:eastAsia="CESI仿宋-GB18030" w:cs="CESI仿宋-GB18030"/>
          <w:color w:val="000000"/>
          <w:kern w:val="2"/>
          <w:sz w:val="32"/>
          <w:szCs w:val="32"/>
          <w:u w:val="none"/>
        </w:rPr>
        <w:t>万元，完成年初预算的</w:t>
      </w:r>
      <w:r>
        <w:rPr>
          <w:rFonts w:hint="eastAsia" w:ascii="CESI仿宋-GB18030" w:hAnsi="CESI仿宋-GB18030" w:eastAsia="CESI仿宋-GB18030" w:cs="CESI仿宋-GB18030"/>
          <w:color w:val="000000"/>
          <w:kern w:val="2"/>
          <w:sz w:val="32"/>
          <w:szCs w:val="32"/>
          <w:u w:val="none"/>
          <w:lang w:val="en-US" w:eastAsia="zh-CN"/>
        </w:rPr>
        <w:t>116.88</w:t>
      </w:r>
      <w:r>
        <w:rPr>
          <w:rFonts w:hint="eastAsia" w:ascii="CESI仿宋-GB18030" w:hAnsi="CESI仿宋-GB18030" w:eastAsia="CESI仿宋-GB18030" w:cs="CESI仿宋-GB18030"/>
          <w:color w:val="000000"/>
          <w:kern w:val="2"/>
          <w:sz w:val="32"/>
          <w:szCs w:val="32"/>
          <w:u w:val="none"/>
        </w:rPr>
        <w:t>%</w:t>
      </w:r>
      <w:r>
        <w:rPr>
          <w:rFonts w:hint="eastAsia" w:ascii="CESI仿宋-GB18030" w:hAnsi="CESI仿宋-GB18030" w:eastAsia="CESI仿宋-GB18030" w:cs="CESI仿宋-GB18030"/>
          <w:color w:val="000000"/>
          <w:kern w:val="2"/>
          <w:sz w:val="32"/>
          <w:szCs w:val="32"/>
          <w:u w:val="none"/>
          <w:lang w:eastAsia="zh-CN"/>
        </w:rPr>
        <w:t>。</w:t>
      </w:r>
      <w:r>
        <w:rPr>
          <w:rFonts w:hint="eastAsia" w:ascii="CESI仿宋-GB18030" w:hAnsi="CESI仿宋-GB18030" w:eastAsia="CESI仿宋-GB18030" w:cs="CESI仿宋-GB18030"/>
          <w:color w:val="000000"/>
          <w:kern w:val="2"/>
          <w:sz w:val="32"/>
          <w:szCs w:val="32"/>
          <w:u w:val="none"/>
        </w:rPr>
        <w:t>决算数与年初预算数的差异原因：</w:t>
      </w:r>
      <w:r>
        <w:rPr>
          <w:rFonts w:hint="eastAsia" w:ascii="CESI仿宋-GB18030" w:hAnsi="CESI仿宋-GB18030" w:eastAsia="CESI仿宋-GB18030" w:cs="CESI仿宋-GB18030"/>
          <w:color w:val="000000"/>
          <w:kern w:val="2"/>
          <w:sz w:val="32"/>
          <w:szCs w:val="32"/>
          <w:u w:val="none"/>
          <w:lang w:eastAsia="zh-CN"/>
        </w:rPr>
        <w:t>保险缴费基数调整及新考录及调入致使人员增加</w:t>
      </w:r>
      <w:r>
        <w:rPr>
          <w:rFonts w:hint="eastAsia" w:ascii="CESI仿宋-GB18030" w:hAnsi="CESI仿宋-GB18030" w:eastAsia="CESI仿宋-GB18030" w:cs="CESI仿宋-GB18030"/>
          <w:color w:val="000000"/>
          <w:kern w:val="2"/>
          <w:sz w:val="32"/>
          <w:szCs w:val="32"/>
          <w:u w:val="none"/>
        </w:rPr>
        <w:t>。</w:t>
      </w:r>
    </w:p>
    <w:p>
      <w:pPr>
        <w:pageBreakBefore w:val="0"/>
        <w:widowControl/>
        <w:kinsoku/>
        <w:wordWrap/>
        <w:overflowPunct/>
        <w:topLinePunct w:val="0"/>
        <w:autoSpaceDE/>
        <w:autoSpaceDN/>
        <w:bidi w:val="0"/>
        <w:spacing w:line="580" w:lineRule="exact"/>
        <w:ind w:firstLine="640" w:firstLineChars="200"/>
        <w:jc w:val="left"/>
        <w:textAlignment w:val="auto"/>
        <w:rPr>
          <w:rFonts w:ascii="Times New Roman" w:hAnsi="Times New Roman" w:eastAsia="Times New Roman" w:cs="Times New Roman"/>
          <w:kern w:val="0"/>
          <w:sz w:val="24"/>
        </w:rPr>
      </w:pPr>
      <w:r>
        <w:rPr>
          <w:rFonts w:hint="eastAsia" w:ascii="楷体" w:hAnsi="楷体" w:eastAsia="楷体" w:cs="楷体"/>
          <w:b w:val="0"/>
          <w:bCs w:val="0"/>
          <w:kern w:val="0"/>
          <w:sz w:val="32"/>
          <w:szCs w:val="32"/>
        </w:rPr>
        <w:t>（四）卫生健康支出（类）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卫生健康支出类决算数为 77.73万元，与年初预算相比减少0.75万元。其中：</w:t>
      </w:r>
    </w:p>
    <w:p>
      <w:pPr>
        <w:keepNext w:val="0"/>
        <w:keepLines w:val="0"/>
        <w:pageBreakBefore w:val="0"/>
        <w:widowControl/>
        <w:numPr>
          <w:ilvl w:val="0"/>
          <w:numId w:val="9"/>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olor w:val="000000"/>
          <w:kern w:val="2"/>
          <w:sz w:val="32"/>
          <w:szCs w:val="24"/>
          <w:u w:val="none"/>
        </w:rPr>
      </w:pPr>
      <w:r>
        <w:rPr>
          <w:rFonts w:hint="eastAsia" w:ascii="仿宋_GB2312" w:hAnsi="仿宋_GB2312" w:eastAsia="仿宋_GB2312"/>
          <w:color w:val="000000"/>
          <w:kern w:val="2"/>
          <w:sz w:val="32"/>
          <w:szCs w:val="24"/>
          <w:u w:val="none"/>
        </w:rPr>
        <w:t>行政事业单位医疗（款）行政单位医疗（项）。年初预算</w:t>
      </w:r>
      <w:r>
        <w:rPr>
          <w:rFonts w:hint="eastAsia" w:eastAsia="宋体"/>
          <w:color w:val="000000"/>
          <w:kern w:val="2"/>
          <w:sz w:val="32"/>
          <w:szCs w:val="24"/>
          <w:u w:val="none"/>
          <w:lang w:val="en-US" w:eastAsia="zh-CN"/>
        </w:rPr>
        <w:t>54.26</w:t>
      </w:r>
      <w:r>
        <w:rPr>
          <w:rFonts w:hint="eastAsia" w:ascii="仿宋_GB2312" w:hAnsi="仿宋_GB2312" w:eastAsia="仿宋_GB2312"/>
          <w:color w:val="000000"/>
          <w:kern w:val="2"/>
          <w:sz w:val="32"/>
          <w:szCs w:val="24"/>
          <w:u w:val="none"/>
        </w:rPr>
        <w:t>万元，支出决算</w:t>
      </w:r>
      <w:r>
        <w:rPr>
          <w:rFonts w:hint="eastAsia" w:eastAsia="宋体"/>
          <w:color w:val="000000"/>
          <w:kern w:val="2"/>
          <w:sz w:val="32"/>
          <w:szCs w:val="24"/>
          <w:u w:val="none"/>
          <w:lang w:val="en-US" w:eastAsia="zh-CN"/>
        </w:rPr>
        <w:t>53.26</w:t>
      </w:r>
      <w:r>
        <w:rPr>
          <w:rFonts w:hint="eastAsia" w:ascii="仿宋_GB2312" w:hAnsi="仿宋_GB2312" w:eastAsia="仿宋_GB2312"/>
          <w:color w:val="000000"/>
          <w:kern w:val="2"/>
          <w:sz w:val="32"/>
          <w:szCs w:val="24"/>
          <w:u w:val="none"/>
        </w:rPr>
        <w:t>万元，完成年初预算的</w:t>
      </w:r>
      <w:r>
        <w:rPr>
          <w:rFonts w:hint="eastAsia" w:eastAsia="宋体"/>
          <w:color w:val="000000"/>
          <w:kern w:val="2"/>
          <w:sz w:val="32"/>
          <w:szCs w:val="24"/>
          <w:u w:val="none"/>
          <w:lang w:val="en-US" w:eastAsia="zh-CN"/>
        </w:rPr>
        <w:t>98.16</w:t>
      </w:r>
      <w:r>
        <w:rPr>
          <w:rFonts w:hint="eastAsia" w:ascii="仿宋_GB2312" w:hAnsi="仿宋_GB2312" w:eastAsia="仿宋_GB2312"/>
          <w:color w:val="000000"/>
          <w:kern w:val="2"/>
          <w:sz w:val="32"/>
          <w:szCs w:val="24"/>
          <w:u w:val="none"/>
        </w:rPr>
        <w:t>%。</w:t>
      </w:r>
    </w:p>
    <w:p>
      <w:pPr>
        <w:keepNext w:val="0"/>
        <w:keepLines w:val="0"/>
        <w:pageBreakBefore w:val="0"/>
        <w:numPr>
          <w:ilvl w:val="0"/>
          <w:numId w:val="9"/>
        </w:numPr>
        <w:kinsoku/>
        <w:wordWrap/>
        <w:overflowPunct/>
        <w:topLinePunct w:val="0"/>
        <w:autoSpaceDE/>
        <w:autoSpaceDN/>
        <w:bidi w:val="0"/>
        <w:spacing w:beforeLines="0" w:afterLines="0" w:line="580" w:lineRule="exact"/>
        <w:ind w:left="0" w:leftChars="0" w:firstLine="640" w:firstLineChars="200"/>
        <w:jc w:val="both"/>
        <w:textAlignment w:val="auto"/>
        <w:rPr>
          <w:rFonts w:hint="eastAsia" w:ascii="仿宋_GB2312" w:hAnsi="仿宋_GB2312" w:eastAsia="仿宋_GB2312"/>
          <w:color w:val="000000"/>
          <w:kern w:val="2"/>
          <w:sz w:val="32"/>
          <w:szCs w:val="24"/>
          <w:u w:val="none"/>
        </w:rPr>
      </w:pPr>
      <w:r>
        <w:rPr>
          <w:rFonts w:hint="eastAsia" w:ascii="仿宋_GB2312" w:hAnsi="仿宋_GB2312" w:eastAsia="仿宋_GB2312"/>
          <w:color w:val="000000"/>
          <w:kern w:val="2"/>
          <w:sz w:val="32"/>
          <w:szCs w:val="24"/>
          <w:u w:val="none"/>
        </w:rPr>
        <w:t>行政事业单位医疗（款）事业单位医疗（项）。年初预算</w:t>
      </w:r>
      <w:r>
        <w:rPr>
          <w:rFonts w:hint="eastAsia" w:eastAsia="宋体"/>
          <w:color w:val="000000"/>
          <w:kern w:val="2"/>
          <w:sz w:val="32"/>
          <w:szCs w:val="24"/>
          <w:u w:val="none"/>
          <w:lang w:val="en-US" w:eastAsia="zh-CN"/>
        </w:rPr>
        <w:t>1.29</w:t>
      </w:r>
      <w:r>
        <w:rPr>
          <w:rFonts w:hint="eastAsia" w:ascii="仿宋_GB2312" w:hAnsi="仿宋_GB2312" w:eastAsia="仿宋_GB2312"/>
          <w:color w:val="000000"/>
          <w:kern w:val="2"/>
          <w:sz w:val="32"/>
          <w:szCs w:val="24"/>
          <w:u w:val="none"/>
        </w:rPr>
        <w:t>万元，支出决算</w:t>
      </w:r>
      <w:r>
        <w:rPr>
          <w:rFonts w:hint="eastAsia" w:eastAsia="宋体"/>
          <w:color w:val="000000"/>
          <w:kern w:val="2"/>
          <w:sz w:val="32"/>
          <w:szCs w:val="24"/>
          <w:u w:val="none"/>
          <w:lang w:val="en-US" w:eastAsia="zh-CN"/>
        </w:rPr>
        <w:t>0.64</w:t>
      </w:r>
      <w:r>
        <w:rPr>
          <w:rFonts w:hint="eastAsia" w:ascii="仿宋_GB2312" w:hAnsi="仿宋_GB2312" w:eastAsia="仿宋_GB2312"/>
          <w:color w:val="000000"/>
          <w:kern w:val="2"/>
          <w:sz w:val="32"/>
          <w:szCs w:val="24"/>
          <w:u w:val="none"/>
        </w:rPr>
        <w:t>万元，完成年初预算的</w:t>
      </w:r>
      <w:r>
        <w:rPr>
          <w:rFonts w:hint="eastAsia" w:eastAsia="宋体"/>
          <w:color w:val="000000"/>
          <w:kern w:val="2"/>
          <w:sz w:val="32"/>
          <w:szCs w:val="24"/>
          <w:u w:val="none"/>
          <w:lang w:val="en-US" w:eastAsia="zh-CN"/>
        </w:rPr>
        <w:t>49.61</w:t>
      </w:r>
      <w:r>
        <w:rPr>
          <w:rFonts w:hint="eastAsia" w:ascii="仿宋_GB2312" w:hAnsi="仿宋_GB2312" w:eastAsia="仿宋_GB2312"/>
          <w:color w:val="000000"/>
          <w:kern w:val="2"/>
          <w:sz w:val="32"/>
          <w:szCs w:val="24"/>
          <w:u w:val="none"/>
        </w:rPr>
        <w:t>%。决算数与年初预算数的差异原因：</w:t>
      </w:r>
      <w:r>
        <w:rPr>
          <w:rFonts w:hint="eastAsia" w:ascii="仿宋_GB2312" w:hAnsi="仿宋_GB2312" w:eastAsia="仿宋_GB2312"/>
          <w:color w:val="000000"/>
          <w:kern w:val="2"/>
          <w:sz w:val="32"/>
          <w:szCs w:val="24"/>
          <w:u w:val="none"/>
          <w:lang w:eastAsia="zh-CN"/>
        </w:rPr>
        <w:t>我局事业身份人员仅有</w:t>
      </w:r>
      <w:r>
        <w:rPr>
          <w:rFonts w:hint="eastAsia" w:ascii="仿宋_GB2312" w:hAnsi="仿宋_GB2312" w:eastAsia="仿宋_GB2312"/>
          <w:color w:val="000000"/>
          <w:kern w:val="2"/>
          <w:sz w:val="32"/>
          <w:szCs w:val="24"/>
          <w:u w:val="none"/>
          <w:lang w:val="en-US" w:eastAsia="zh-CN"/>
        </w:rPr>
        <w:t>1人</w:t>
      </w:r>
      <w:r>
        <w:rPr>
          <w:rFonts w:hint="eastAsia" w:ascii="仿宋_GB2312" w:hAnsi="仿宋_GB2312" w:eastAsia="仿宋_GB2312"/>
          <w:color w:val="000000"/>
          <w:kern w:val="2"/>
          <w:sz w:val="32"/>
          <w:szCs w:val="24"/>
          <w:u w:val="none"/>
        </w:rPr>
        <w:t>。</w:t>
      </w:r>
    </w:p>
    <w:p>
      <w:pPr>
        <w:keepNext w:val="0"/>
        <w:keepLines w:val="0"/>
        <w:pageBreakBefore w:val="0"/>
        <w:numPr>
          <w:ilvl w:val="0"/>
          <w:numId w:val="9"/>
        </w:numPr>
        <w:kinsoku/>
        <w:wordWrap/>
        <w:overflowPunct/>
        <w:topLinePunct w:val="0"/>
        <w:autoSpaceDE/>
        <w:autoSpaceDN/>
        <w:bidi w:val="0"/>
        <w:spacing w:beforeLines="0" w:afterLines="0" w:line="580" w:lineRule="exact"/>
        <w:ind w:left="0" w:leftChars="0" w:firstLine="640" w:firstLineChars="200"/>
        <w:jc w:val="both"/>
        <w:textAlignment w:val="auto"/>
        <w:rPr>
          <w:rFonts w:hint="eastAsia" w:ascii="仿宋_GB2312" w:hAnsi="仿宋_GB2312" w:eastAsia="仿宋_GB2312"/>
          <w:color w:val="000000"/>
          <w:kern w:val="2"/>
          <w:sz w:val="32"/>
          <w:szCs w:val="24"/>
          <w:u w:val="none"/>
        </w:rPr>
      </w:pPr>
      <w:r>
        <w:rPr>
          <w:rFonts w:hint="eastAsia" w:ascii="仿宋_GB2312" w:hAnsi="仿宋_GB2312" w:eastAsia="仿宋_GB2312"/>
          <w:color w:val="000000"/>
          <w:kern w:val="2"/>
          <w:sz w:val="32"/>
          <w:szCs w:val="24"/>
          <w:u w:val="none"/>
        </w:rPr>
        <w:t>行政事业单位医疗（款）公务员医疗补助（项）。年初预算</w:t>
      </w:r>
      <w:r>
        <w:rPr>
          <w:rFonts w:hint="eastAsia" w:eastAsia="宋体"/>
          <w:color w:val="000000"/>
          <w:kern w:val="2"/>
          <w:sz w:val="32"/>
          <w:szCs w:val="24"/>
          <w:u w:val="none"/>
          <w:lang w:val="en-US" w:eastAsia="zh-CN"/>
        </w:rPr>
        <w:t>23.59</w:t>
      </w:r>
      <w:r>
        <w:rPr>
          <w:rFonts w:hint="eastAsia" w:ascii="仿宋_GB2312" w:hAnsi="仿宋_GB2312" w:eastAsia="仿宋_GB2312"/>
          <w:color w:val="000000"/>
          <w:kern w:val="2"/>
          <w:sz w:val="32"/>
          <w:szCs w:val="24"/>
          <w:u w:val="none"/>
        </w:rPr>
        <w:t>万元，支出决算</w:t>
      </w:r>
      <w:r>
        <w:rPr>
          <w:rFonts w:hint="eastAsia" w:eastAsia="宋体"/>
          <w:color w:val="000000"/>
          <w:kern w:val="2"/>
          <w:sz w:val="32"/>
          <w:szCs w:val="24"/>
          <w:u w:val="none"/>
          <w:lang w:val="en-US" w:eastAsia="zh-CN"/>
        </w:rPr>
        <w:t>23.83</w:t>
      </w:r>
      <w:r>
        <w:rPr>
          <w:rFonts w:hint="eastAsia" w:ascii="仿宋_GB2312" w:hAnsi="仿宋_GB2312" w:eastAsia="仿宋_GB2312"/>
          <w:color w:val="000000"/>
          <w:kern w:val="2"/>
          <w:sz w:val="32"/>
          <w:szCs w:val="24"/>
          <w:u w:val="none"/>
        </w:rPr>
        <w:t>万元，完成年初预算的</w:t>
      </w:r>
      <w:r>
        <w:rPr>
          <w:rFonts w:hint="eastAsia" w:eastAsia="宋体"/>
          <w:color w:val="000000"/>
          <w:kern w:val="2"/>
          <w:sz w:val="32"/>
          <w:szCs w:val="24"/>
          <w:u w:val="none"/>
          <w:lang w:val="en-US" w:eastAsia="zh-CN"/>
        </w:rPr>
        <w:t>101.02</w:t>
      </w:r>
      <w:r>
        <w:rPr>
          <w:rFonts w:hint="eastAsia" w:ascii="仿宋_GB2312" w:hAnsi="仿宋_GB2312" w:eastAsia="仿宋_GB2312"/>
          <w:color w:val="000000"/>
          <w:kern w:val="2"/>
          <w:sz w:val="32"/>
          <w:szCs w:val="24"/>
          <w:u w:val="none"/>
        </w:rPr>
        <w:t>%。决算数与年初预算数的差异原因：</w:t>
      </w:r>
      <w:r>
        <w:rPr>
          <w:rFonts w:hint="eastAsia" w:ascii="仿宋_GB2312" w:hAnsi="仿宋_GB2312" w:eastAsia="仿宋_GB2312"/>
          <w:color w:val="000000"/>
          <w:kern w:val="2"/>
          <w:sz w:val="32"/>
          <w:szCs w:val="24"/>
          <w:u w:val="none"/>
          <w:lang w:eastAsia="zh-CN"/>
        </w:rPr>
        <w:t>本年新考录及调入人员，公务员医疗补助缴费增加</w:t>
      </w:r>
      <w:r>
        <w:rPr>
          <w:rFonts w:hint="eastAsia" w:ascii="仿宋_GB2312" w:hAnsi="仿宋_GB2312" w:eastAsia="仿宋_GB2312"/>
          <w:color w:val="000000"/>
          <w:kern w:val="2"/>
          <w:sz w:val="32"/>
          <w:szCs w:val="24"/>
          <w:u w:val="none"/>
        </w:rPr>
        <w:t>。</w:t>
      </w:r>
    </w:p>
    <w:p>
      <w:pPr>
        <w:keepNext w:val="0"/>
        <w:keepLines w:val="0"/>
        <w:pageBreakBefore w:val="0"/>
        <w:tabs>
          <w:tab w:val="left" w:pos="4275"/>
        </w:tabs>
        <w:kinsoku/>
        <w:wordWrap/>
        <w:overflowPunct/>
        <w:topLinePunct w:val="0"/>
        <w:autoSpaceDE/>
        <w:autoSpaceDN/>
        <w:bidi w:val="0"/>
        <w:spacing w:beforeLines="0" w:afterLines="0" w:line="580" w:lineRule="exact"/>
        <w:ind w:firstLine="643"/>
        <w:jc w:val="both"/>
        <w:textAlignment w:val="auto"/>
        <w:rPr>
          <w:rFonts w:hint="default" w:ascii="Times New Roman" w:hAnsi="Times New Roman" w:eastAsia="Times New Roman"/>
          <w:b w:val="0"/>
          <w:bCs/>
          <w:color w:val="000000"/>
          <w:kern w:val="2"/>
          <w:sz w:val="32"/>
          <w:szCs w:val="24"/>
          <w:u w:val="none"/>
        </w:rPr>
      </w:pPr>
      <w:r>
        <w:rPr>
          <w:rFonts w:hint="eastAsia" w:ascii="楷体" w:hAnsi="楷体" w:eastAsia="楷体"/>
          <w:b w:val="0"/>
          <w:bCs/>
          <w:color w:val="000000"/>
          <w:kern w:val="2"/>
          <w:sz w:val="32"/>
          <w:szCs w:val="24"/>
          <w:u w:val="none"/>
        </w:rPr>
        <w:t>（五）</w:t>
      </w:r>
      <w:r>
        <w:rPr>
          <w:rFonts w:hint="eastAsia" w:ascii="楷体" w:hAnsi="楷体" w:eastAsia="楷体"/>
          <w:b w:val="0"/>
          <w:bCs/>
          <w:color w:val="000000"/>
          <w:kern w:val="2"/>
          <w:sz w:val="32"/>
          <w:szCs w:val="24"/>
          <w:u w:val="none"/>
          <w:lang w:eastAsia="zh-CN"/>
        </w:rPr>
        <w:t>农林水</w:t>
      </w:r>
      <w:r>
        <w:rPr>
          <w:rFonts w:hint="eastAsia" w:ascii="楷体" w:hAnsi="楷体" w:eastAsia="楷体"/>
          <w:b w:val="0"/>
          <w:bCs/>
          <w:color w:val="000000"/>
          <w:kern w:val="2"/>
          <w:sz w:val="32"/>
          <w:szCs w:val="24"/>
          <w:u w:val="none"/>
        </w:rPr>
        <w:t>支出（类）</w:t>
      </w:r>
    </w:p>
    <w:p>
      <w:pPr>
        <w:keepNext w:val="0"/>
        <w:keepLines w:val="0"/>
        <w:pageBreakBefore w:val="0"/>
        <w:kinsoku/>
        <w:wordWrap/>
        <w:overflowPunct/>
        <w:topLinePunct w:val="0"/>
        <w:autoSpaceDE/>
        <w:autoSpaceDN/>
        <w:bidi w:val="0"/>
        <w:spacing w:beforeLines="0" w:afterLines="0" w:line="580" w:lineRule="exact"/>
        <w:ind w:firstLine="640" w:firstLineChars="200"/>
        <w:jc w:val="both"/>
        <w:textAlignment w:val="auto"/>
        <w:rPr>
          <w:rFonts w:hint="eastAsia" w:ascii="CESI仿宋-GB18030" w:hAnsi="CESI仿宋-GB18030" w:eastAsia="CESI仿宋-GB18030" w:cs="CESI仿宋-GB18030"/>
          <w:color w:val="000000"/>
          <w:kern w:val="2"/>
          <w:sz w:val="32"/>
          <w:szCs w:val="32"/>
          <w:u w:val="none"/>
        </w:rPr>
      </w:pPr>
      <w:r>
        <w:rPr>
          <w:rFonts w:hint="eastAsia" w:ascii="CESI仿宋-GB18030" w:hAnsi="CESI仿宋-GB18030" w:eastAsia="CESI仿宋-GB18030" w:cs="CESI仿宋-GB18030"/>
          <w:color w:val="000000"/>
          <w:kern w:val="2"/>
          <w:sz w:val="32"/>
          <w:szCs w:val="32"/>
          <w:u w:val="none"/>
          <w:lang w:eastAsia="zh-CN"/>
        </w:rPr>
        <w:t>农林水</w:t>
      </w:r>
      <w:r>
        <w:rPr>
          <w:rFonts w:hint="eastAsia" w:ascii="CESI仿宋-GB18030" w:hAnsi="CESI仿宋-GB18030" w:eastAsia="CESI仿宋-GB18030" w:cs="CESI仿宋-GB18030"/>
          <w:color w:val="000000"/>
          <w:kern w:val="2"/>
          <w:sz w:val="32"/>
          <w:szCs w:val="32"/>
          <w:u w:val="none"/>
        </w:rPr>
        <w:t>支出类决算数为</w:t>
      </w:r>
      <w:r>
        <w:rPr>
          <w:rFonts w:hint="eastAsia" w:ascii="CESI仿宋-GB18030" w:hAnsi="CESI仿宋-GB18030" w:eastAsia="CESI仿宋-GB18030" w:cs="CESI仿宋-GB18030"/>
          <w:color w:val="000000"/>
          <w:kern w:val="2"/>
          <w:sz w:val="32"/>
          <w:szCs w:val="32"/>
          <w:u w:val="none"/>
          <w:lang w:val="en-US" w:eastAsia="zh-CN"/>
        </w:rPr>
        <w:t>2.62</w:t>
      </w:r>
      <w:r>
        <w:rPr>
          <w:rFonts w:hint="eastAsia" w:ascii="CESI仿宋-GB18030" w:hAnsi="CESI仿宋-GB18030" w:eastAsia="CESI仿宋-GB18030" w:cs="CESI仿宋-GB18030"/>
          <w:color w:val="000000"/>
          <w:kern w:val="2"/>
          <w:sz w:val="32"/>
          <w:szCs w:val="32"/>
          <w:u w:val="none"/>
        </w:rPr>
        <w:t>万元，与年初预算相比增加</w:t>
      </w:r>
      <w:r>
        <w:rPr>
          <w:rFonts w:hint="eastAsia" w:ascii="CESI仿宋-GB18030" w:hAnsi="CESI仿宋-GB18030" w:eastAsia="CESI仿宋-GB18030" w:cs="CESI仿宋-GB18030"/>
          <w:color w:val="000000"/>
          <w:kern w:val="2"/>
          <w:sz w:val="32"/>
          <w:szCs w:val="32"/>
          <w:u w:val="none"/>
          <w:lang w:val="en-US" w:eastAsia="zh-CN"/>
        </w:rPr>
        <w:t>2.62</w:t>
      </w:r>
      <w:r>
        <w:rPr>
          <w:rFonts w:hint="eastAsia" w:ascii="CESI仿宋-GB18030" w:hAnsi="CESI仿宋-GB18030" w:eastAsia="CESI仿宋-GB18030" w:cs="CESI仿宋-GB18030"/>
          <w:color w:val="000000"/>
          <w:kern w:val="2"/>
          <w:sz w:val="32"/>
          <w:szCs w:val="32"/>
          <w:u w:val="none"/>
        </w:rPr>
        <w:t>万元。其中：</w:t>
      </w:r>
    </w:p>
    <w:p>
      <w:pPr>
        <w:keepNext w:val="0"/>
        <w:keepLines w:val="0"/>
        <w:pageBreakBefore w:val="0"/>
        <w:numPr>
          <w:ilvl w:val="0"/>
          <w:numId w:val="10"/>
        </w:numPr>
        <w:tabs>
          <w:tab w:val="left" w:pos="4275"/>
        </w:tabs>
        <w:kinsoku/>
        <w:wordWrap/>
        <w:overflowPunct/>
        <w:topLinePunct w:val="0"/>
        <w:autoSpaceDE/>
        <w:autoSpaceDN/>
        <w:bidi w:val="0"/>
        <w:spacing w:beforeLines="0" w:afterLines="0" w:line="580" w:lineRule="exact"/>
        <w:ind w:firstLine="643"/>
        <w:jc w:val="both"/>
        <w:textAlignment w:val="auto"/>
        <w:rPr>
          <w:rFonts w:hint="eastAsia" w:ascii="CESI仿宋-GB18030" w:hAnsi="CESI仿宋-GB18030" w:eastAsia="CESI仿宋-GB18030" w:cs="CESI仿宋-GB18030"/>
          <w:kern w:val="0"/>
          <w:sz w:val="32"/>
          <w:szCs w:val="32"/>
        </w:rPr>
      </w:pPr>
      <w:r>
        <w:rPr>
          <w:rFonts w:hint="eastAsia" w:ascii="CESI仿宋-GB18030" w:hAnsi="CESI仿宋-GB18030" w:eastAsia="CESI仿宋-GB18030" w:cs="CESI仿宋-GB18030"/>
          <w:color w:val="000000"/>
          <w:kern w:val="2"/>
          <w:sz w:val="32"/>
          <w:szCs w:val="32"/>
          <w:u w:val="none"/>
          <w:lang w:eastAsia="zh-CN"/>
        </w:rPr>
        <w:t>巩固脱贫衔接乡村振兴</w:t>
      </w:r>
      <w:r>
        <w:rPr>
          <w:rFonts w:hint="eastAsia" w:ascii="CESI仿宋-GB18030" w:hAnsi="CESI仿宋-GB18030" w:eastAsia="CESI仿宋-GB18030" w:cs="CESI仿宋-GB18030"/>
          <w:color w:val="000000"/>
          <w:kern w:val="2"/>
          <w:sz w:val="32"/>
          <w:szCs w:val="32"/>
          <w:u w:val="none"/>
        </w:rPr>
        <w:t>（款）</w:t>
      </w:r>
      <w:r>
        <w:rPr>
          <w:rFonts w:hint="eastAsia" w:ascii="CESI仿宋-GB18030" w:hAnsi="CESI仿宋-GB18030" w:eastAsia="CESI仿宋-GB18030" w:cs="CESI仿宋-GB18030"/>
          <w:color w:val="000000"/>
          <w:kern w:val="2"/>
          <w:sz w:val="32"/>
          <w:szCs w:val="32"/>
          <w:u w:val="none"/>
          <w:lang w:eastAsia="zh-CN"/>
        </w:rPr>
        <w:t>其他巩固脱贫衔接乡村振兴支出</w:t>
      </w:r>
      <w:r>
        <w:rPr>
          <w:rFonts w:hint="eastAsia" w:ascii="CESI仿宋-GB18030" w:hAnsi="CESI仿宋-GB18030" w:eastAsia="CESI仿宋-GB18030" w:cs="CESI仿宋-GB18030"/>
          <w:color w:val="000000"/>
          <w:kern w:val="2"/>
          <w:sz w:val="32"/>
          <w:szCs w:val="32"/>
          <w:u w:val="none"/>
        </w:rPr>
        <w:t>（项）。年初预算</w:t>
      </w:r>
      <w:r>
        <w:rPr>
          <w:rFonts w:hint="eastAsia" w:ascii="CESI仿宋-GB18030" w:hAnsi="CESI仿宋-GB18030" w:eastAsia="CESI仿宋-GB18030" w:cs="CESI仿宋-GB18030"/>
          <w:color w:val="000000"/>
          <w:kern w:val="2"/>
          <w:sz w:val="32"/>
          <w:szCs w:val="32"/>
          <w:u w:val="none"/>
          <w:lang w:val="en-US" w:eastAsia="zh-CN"/>
        </w:rPr>
        <w:t>0</w:t>
      </w:r>
      <w:r>
        <w:rPr>
          <w:rFonts w:hint="eastAsia" w:ascii="CESI仿宋-GB18030" w:hAnsi="CESI仿宋-GB18030" w:eastAsia="CESI仿宋-GB18030" w:cs="CESI仿宋-GB18030"/>
          <w:color w:val="000000"/>
          <w:kern w:val="2"/>
          <w:sz w:val="32"/>
          <w:szCs w:val="32"/>
          <w:u w:val="none"/>
        </w:rPr>
        <w:t>万元，支出决算</w:t>
      </w:r>
      <w:r>
        <w:rPr>
          <w:rFonts w:hint="eastAsia" w:ascii="CESI仿宋-GB18030" w:hAnsi="CESI仿宋-GB18030" w:eastAsia="CESI仿宋-GB18030" w:cs="CESI仿宋-GB18030"/>
          <w:color w:val="000000"/>
          <w:kern w:val="2"/>
          <w:sz w:val="32"/>
          <w:szCs w:val="32"/>
          <w:u w:val="none"/>
          <w:lang w:val="en-US" w:eastAsia="zh-CN"/>
        </w:rPr>
        <w:t>2.62</w:t>
      </w:r>
      <w:r>
        <w:rPr>
          <w:rFonts w:hint="eastAsia" w:ascii="CESI仿宋-GB18030" w:hAnsi="CESI仿宋-GB18030" w:eastAsia="CESI仿宋-GB18030" w:cs="CESI仿宋-GB18030"/>
          <w:color w:val="000000"/>
          <w:kern w:val="2"/>
          <w:sz w:val="32"/>
          <w:szCs w:val="32"/>
          <w:u w:val="none"/>
        </w:rPr>
        <w:t>万元。决算数与年初预算数的差异原因：</w:t>
      </w:r>
      <w:r>
        <w:rPr>
          <w:rFonts w:hint="eastAsia" w:ascii="CESI仿宋-GB18030" w:hAnsi="CESI仿宋-GB18030" w:eastAsia="CESI仿宋-GB18030" w:cs="CESI仿宋-GB18030"/>
          <w:color w:val="000000"/>
          <w:kern w:val="2"/>
          <w:sz w:val="32"/>
          <w:szCs w:val="32"/>
          <w:u w:val="none"/>
          <w:lang w:eastAsia="zh-CN"/>
        </w:rPr>
        <w:t>本年追加乡村振兴驻村人员生活补助支出</w:t>
      </w:r>
      <w:r>
        <w:rPr>
          <w:rFonts w:hint="eastAsia" w:ascii="CESI仿宋-GB18030" w:hAnsi="CESI仿宋-GB18030" w:eastAsia="CESI仿宋-GB18030" w:cs="CESI仿宋-GB18030"/>
          <w:color w:val="000000"/>
          <w:kern w:val="2"/>
          <w:sz w:val="32"/>
          <w:szCs w:val="32"/>
          <w:u w:val="none"/>
        </w:rPr>
        <w:t>。</w:t>
      </w:r>
    </w:p>
    <w:p>
      <w:pPr>
        <w:keepNext w:val="0"/>
        <w:keepLines w:val="0"/>
        <w:pageBreakBefore w:val="0"/>
        <w:numPr>
          <w:ilvl w:val="0"/>
          <w:numId w:val="0"/>
        </w:numPr>
        <w:tabs>
          <w:tab w:val="left" w:pos="4275"/>
        </w:tabs>
        <w:kinsoku/>
        <w:wordWrap/>
        <w:overflowPunct/>
        <w:topLinePunct w:val="0"/>
        <w:autoSpaceDE/>
        <w:autoSpaceDN/>
        <w:bidi w:val="0"/>
        <w:spacing w:beforeLines="0" w:afterLines="0" w:line="580" w:lineRule="exact"/>
        <w:ind w:firstLine="640" w:firstLineChars="200"/>
        <w:jc w:val="both"/>
        <w:textAlignment w:val="auto"/>
        <w:rPr>
          <w:rFonts w:ascii="Times New Roman" w:hAnsi="Times New Roman" w:eastAsia="Times New Roman" w:cs="Times New Roman"/>
          <w:kern w:val="0"/>
          <w:sz w:val="24"/>
        </w:rPr>
      </w:pPr>
      <w:r>
        <w:rPr>
          <w:rFonts w:hint="eastAsia" w:ascii="楷体" w:hAnsi="楷体" w:eastAsia="楷体"/>
          <w:b w:val="0"/>
          <w:bCs/>
          <w:color w:val="000000"/>
          <w:kern w:val="2"/>
          <w:sz w:val="32"/>
          <w:szCs w:val="24"/>
          <w:u w:val="none"/>
        </w:rPr>
        <w:t>（</w:t>
      </w:r>
      <w:r>
        <w:rPr>
          <w:rFonts w:hint="eastAsia" w:ascii="楷体" w:hAnsi="楷体" w:eastAsia="楷体"/>
          <w:b w:val="0"/>
          <w:bCs/>
          <w:color w:val="000000"/>
          <w:kern w:val="2"/>
          <w:sz w:val="32"/>
          <w:szCs w:val="24"/>
          <w:u w:val="none"/>
          <w:lang w:eastAsia="zh-CN"/>
        </w:rPr>
        <w:t>六</w:t>
      </w:r>
      <w:r>
        <w:rPr>
          <w:rFonts w:hint="eastAsia" w:ascii="楷体" w:hAnsi="楷体" w:eastAsia="楷体"/>
          <w:b w:val="0"/>
          <w:bCs/>
          <w:color w:val="000000"/>
          <w:kern w:val="2"/>
          <w:sz w:val="32"/>
          <w:szCs w:val="24"/>
          <w:u w:val="none"/>
        </w:rPr>
        <w:t>）住房保障支出（类）</w:t>
      </w:r>
    </w:p>
    <w:p>
      <w:pPr>
        <w:pageBreakBefore w:val="0"/>
        <w:widowControl/>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住房保障支出类决算数为 93.87万元，与年初预算相比增加 1.72万元。其中：</w:t>
      </w:r>
    </w:p>
    <w:p>
      <w:pPr>
        <w:pageBreakBefore w:val="0"/>
        <w:widowControl/>
        <w:numPr>
          <w:ilvl w:val="0"/>
          <w:numId w:val="11"/>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住房改革支出（款）住房公积金（项）。年初预算92.15万元，支出决算93.87万元，完成年初预算的101.87%。决算数与年初预算数的差异原因：本年新考录及调入人员，住房公积金缴费增加。</w:t>
      </w:r>
    </w:p>
    <w:p>
      <w:pPr>
        <w:pageBreakBefore w:val="0"/>
        <w:widowControl/>
        <w:numPr>
          <w:ilvl w:val="0"/>
          <w:numId w:val="4"/>
        </w:numPr>
        <w:kinsoku/>
        <w:wordWrap/>
        <w:overflowPunct/>
        <w:topLinePunct w:val="0"/>
        <w:autoSpaceDE/>
        <w:autoSpaceDN/>
        <w:bidi w:val="0"/>
        <w:spacing w:line="580" w:lineRule="exact"/>
        <w:ind w:left="0" w:leftChars="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一般公共预算财政拨款基本支出决算情况说明</w:t>
      </w:r>
    </w:p>
    <w:p>
      <w:pPr>
        <w:pageBreakBefore w:val="0"/>
        <w:widowControl/>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2023年度一般公共预算财政拨款基本支出决算 1,541.92万元，其中：</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val="0"/>
          <w:bCs w:val="0"/>
          <w:color w:val="auto"/>
          <w:kern w:val="0"/>
          <w:sz w:val="32"/>
          <w:szCs w:val="32"/>
          <w:lang w:val="en-US" w:eastAsia="zh-CN"/>
        </w:rPr>
        <w:t>（一）人员经费 1,285.64万元。</w:t>
      </w:r>
      <w:r>
        <w:rPr>
          <w:rFonts w:hint="eastAsia" w:ascii="仿宋_GB2312" w:hAnsi="仿宋_GB2312" w:eastAsia="仿宋_GB2312" w:cs="仿宋_GB2312"/>
          <w:color w:val="auto"/>
          <w:kern w:val="0"/>
          <w:sz w:val="32"/>
          <w:szCs w:val="32"/>
        </w:rPr>
        <w:t>主要包括：基本工资</w:t>
      </w:r>
      <w:r>
        <w:rPr>
          <w:rFonts w:hint="eastAsia" w:ascii="仿宋_GB2312" w:hAnsi="仿宋_GB2312" w:eastAsia="仿宋_GB2312" w:cs="仿宋_GB2312"/>
          <w:color w:val="auto"/>
          <w:kern w:val="0"/>
          <w:sz w:val="32"/>
          <w:szCs w:val="32"/>
          <w:lang w:val="en-US" w:eastAsia="zh-CN"/>
        </w:rPr>
        <w:t>324.11</w:t>
      </w:r>
      <w:r>
        <w:rPr>
          <w:rFonts w:hint="eastAsia" w:ascii="仿宋_GB2312" w:hAnsi="仿宋_GB2312" w:eastAsia="仿宋_GB2312" w:cs="仿宋_GB2312"/>
          <w:color w:val="auto"/>
          <w:kern w:val="0"/>
          <w:sz w:val="32"/>
          <w:szCs w:val="32"/>
        </w:rPr>
        <w:t>万元、津贴补贴</w:t>
      </w:r>
      <w:r>
        <w:rPr>
          <w:rFonts w:hint="eastAsia" w:ascii="仿宋_GB2312" w:hAnsi="仿宋_GB2312" w:eastAsia="仿宋_GB2312" w:cs="仿宋_GB2312"/>
          <w:color w:val="auto"/>
          <w:kern w:val="0"/>
          <w:sz w:val="32"/>
          <w:szCs w:val="32"/>
          <w:lang w:val="en-US" w:eastAsia="zh-CN"/>
        </w:rPr>
        <w:t>364.34</w:t>
      </w:r>
      <w:r>
        <w:rPr>
          <w:rFonts w:hint="eastAsia" w:ascii="仿宋_GB2312" w:hAnsi="仿宋_GB2312" w:eastAsia="仿宋_GB2312" w:cs="仿宋_GB2312"/>
          <w:color w:val="auto"/>
          <w:kern w:val="0"/>
          <w:sz w:val="32"/>
          <w:szCs w:val="32"/>
        </w:rPr>
        <w:t>万元、奖金</w:t>
      </w:r>
      <w:r>
        <w:rPr>
          <w:rFonts w:hint="eastAsia" w:ascii="仿宋_GB2312" w:hAnsi="仿宋_GB2312" w:eastAsia="仿宋_GB2312" w:cs="仿宋_GB2312"/>
          <w:color w:val="auto"/>
          <w:kern w:val="0"/>
          <w:sz w:val="32"/>
          <w:szCs w:val="32"/>
          <w:lang w:val="en-US" w:eastAsia="zh-CN"/>
        </w:rPr>
        <w:t>99.38</w:t>
      </w:r>
      <w:r>
        <w:rPr>
          <w:rFonts w:hint="eastAsia" w:ascii="仿宋_GB2312" w:hAnsi="仿宋_GB2312" w:eastAsia="仿宋_GB2312" w:cs="仿宋_GB2312"/>
          <w:color w:val="auto"/>
          <w:kern w:val="0"/>
          <w:sz w:val="32"/>
          <w:szCs w:val="32"/>
        </w:rPr>
        <w:t>万元、绩效工资</w:t>
      </w:r>
      <w:r>
        <w:rPr>
          <w:rFonts w:hint="eastAsia" w:ascii="仿宋_GB2312" w:hAnsi="仿宋_GB2312" w:eastAsia="仿宋_GB2312" w:cs="仿宋_GB2312"/>
          <w:color w:val="auto"/>
          <w:kern w:val="0"/>
          <w:sz w:val="32"/>
          <w:szCs w:val="32"/>
          <w:lang w:val="en-US" w:eastAsia="zh-CN"/>
        </w:rPr>
        <w:t>1.42</w:t>
      </w:r>
      <w:r>
        <w:rPr>
          <w:rFonts w:hint="eastAsia" w:ascii="仿宋_GB2312" w:hAnsi="仿宋_GB2312" w:eastAsia="仿宋_GB2312" w:cs="仿宋_GB2312"/>
          <w:color w:val="auto"/>
          <w:kern w:val="0"/>
          <w:sz w:val="32"/>
          <w:szCs w:val="32"/>
        </w:rPr>
        <w:t>万元、机关事业单位基本养老保险缴费</w:t>
      </w:r>
      <w:r>
        <w:rPr>
          <w:rFonts w:hint="eastAsia" w:ascii="仿宋_GB2312" w:hAnsi="仿宋_GB2312" w:eastAsia="仿宋_GB2312" w:cs="仿宋_GB2312"/>
          <w:color w:val="auto"/>
          <w:kern w:val="0"/>
          <w:sz w:val="32"/>
          <w:szCs w:val="32"/>
          <w:lang w:val="en-US" w:eastAsia="zh-CN"/>
        </w:rPr>
        <w:t>91.31</w:t>
      </w:r>
      <w:r>
        <w:rPr>
          <w:rFonts w:hint="eastAsia" w:ascii="仿宋_GB2312" w:hAnsi="仿宋_GB2312" w:eastAsia="仿宋_GB2312" w:cs="仿宋_GB2312"/>
          <w:color w:val="auto"/>
          <w:kern w:val="0"/>
          <w:sz w:val="32"/>
          <w:szCs w:val="32"/>
        </w:rPr>
        <w:t>万元、职工基本医疗保险缴费</w:t>
      </w:r>
      <w:r>
        <w:rPr>
          <w:rFonts w:hint="eastAsia" w:ascii="仿宋_GB2312" w:hAnsi="仿宋_GB2312" w:eastAsia="仿宋_GB2312" w:cs="仿宋_GB2312"/>
          <w:color w:val="auto"/>
          <w:kern w:val="0"/>
          <w:sz w:val="32"/>
          <w:szCs w:val="32"/>
          <w:lang w:val="en-US" w:eastAsia="zh-CN"/>
        </w:rPr>
        <w:t>53.9</w:t>
      </w:r>
      <w:r>
        <w:rPr>
          <w:rFonts w:hint="eastAsia" w:ascii="仿宋_GB2312" w:hAnsi="仿宋_GB2312" w:eastAsia="仿宋_GB2312" w:cs="仿宋_GB2312"/>
          <w:color w:val="auto"/>
          <w:kern w:val="0"/>
          <w:sz w:val="32"/>
          <w:szCs w:val="32"/>
        </w:rPr>
        <w:t>万元、公务员医疗补助缴费</w:t>
      </w:r>
      <w:r>
        <w:rPr>
          <w:rFonts w:hint="eastAsia" w:ascii="仿宋_GB2312" w:hAnsi="仿宋_GB2312" w:eastAsia="仿宋_GB2312" w:cs="仿宋_GB2312"/>
          <w:color w:val="auto"/>
          <w:kern w:val="0"/>
          <w:sz w:val="32"/>
          <w:szCs w:val="32"/>
          <w:lang w:val="en-US" w:eastAsia="zh-CN"/>
        </w:rPr>
        <w:t>23.83</w:t>
      </w:r>
      <w:r>
        <w:rPr>
          <w:rFonts w:hint="eastAsia" w:ascii="仿宋_GB2312" w:hAnsi="仿宋_GB2312" w:eastAsia="仿宋_GB2312" w:cs="仿宋_GB2312"/>
          <w:color w:val="auto"/>
          <w:kern w:val="0"/>
          <w:sz w:val="32"/>
          <w:szCs w:val="32"/>
        </w:rPr>
        <w:t>万元、其他社会保障缴费</w:t>
      </w:r>
      <w:r>
        <w:rPr>
          <w:rFonts w:hint="eastAsia" w:ascii="仿宋_GB2312" w:hAnsi="仿宋_GB2312" w:eastAsia="仿宋_GB2312" w:cs="仿宋_GB2312"/>
          <w:color w:val="auto"/>
          <w:kern w:val="0"/>
          <w:sz w:val="32"/>
          <w:szCs w:val="32"/>
          <w:lang w:val="en-US" w:eastAsia="zh-CN"/>
        </w:rPr>
        <w:t>1.8</w:t>
      </w:r>
      <w:r>
        <w:rPr>
          <w:rFonts w:hint="eastAsia" w:ascii="仿宋_GB2312" w:hAnsi="仿宋_GB2312" w:eastAsia="仿宋_GB2312" w:cs="仿宋_GB2312"/>
          <w:color w:val="auto"/>
          <w:kern w:val="0"/>
          <w:sz w:val="32"/>
          <w:szCs w:val="32"/>
        </w:rPr>
        <w:t>万元、住房公积金</w:t>
      </w:r>
      <w:r>
        <w:rPr>
          <w:rFonts w:hint="eastAsia" w:ascii="仿宋_GB2312" w:hAnsi="仿宋_GB2312" w:eastAsia="仿宋_GB2312" w:cs="仿宋_GB2312"/>
          <w:color w:val="auto"/>
          <w:kern w:val="0"/>
          <w:sz w:val="32"/>
          <w:szCs w:val="32"/>
          <w:lang w:val="en-US" w:eastAsia="zh-CN"/>
        </w:rPr>
        <w:t>93.87</w:t>
      </w:r>
      <w:r>
        <w:rPr>
          <w:rFonts w:hint="eastAsia" w:ascii="仿宋_GB2312" w:hAnsi="仿宋_GB2312" w:eastAsia="仿宋_GB2312" w:cs="仿宋_GB2312"/>
          <w:color w:val="auto"/>
          <w:kern w:val="0"/>
          <w:sz w:val="32"/>
          <w:szCs w:val="32"/>
          <w:lang w:eastAsia="zh-CN"/>
        </w:rPr>
        <w:t>万元</w:t>
      </w:r>
      <w:r>
        <w:rPr>
          <w:rFonts w:hint="eastAsia" w:ascii="仿宋_GB2312" w:hAnsi="仿宋_GB2312" w:eastAsia="仿宋_GB2312" w:cs="仿宋_GB2312"/>
          <w:color w:val="auto"/>
          <w:kern w:val="0"/>
          <w:sz w:val="32"/>
          <w:szCs w:val="32"/>
        </w:rPr>
        <w:t>、离休费</w:t>
      </w:r>
      <w:r>
        <w:rPr>
          <w:rFonts w:hint="eastAsia" w:ascii="仿宋_GB2312" w:hAnsi="仿宋_GB2312" w:eastAsia="仿宋_GB2312" w:cs="仿宋_GB2312"/>
          <w:color w:val="auto"/>
          <w:kern w:val="0"/>
          <w:sz w:val="32"/>
          <w:szCs w:val="32"/>
          <w:lang w:val="en-US" w:eastAsia="zh-CN"/>
        </w:rPr>
        <w:t>5.16</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退休费</w:t>
      </w:r>
      <w:r>
        <w:rPr>
          <w:rFonts w:hint="eastAsia" w:ascii="仿宋_GB2312" w:hAnsi="仿宋_GB2312" w:eastAsia="仿宋_GB2312" w:cs="仿宋_GB2312"/>
          <w:color w:val="auto"/>
          <w:kern w:val="0"/>
          <w:sz w:val="32"/>
          <w:szCs w:val="32"/>
          <w:lang w:val="en-US" w:eastAsia="zh-CN"/>
        </w:rPr>
        <w:t>73.48万元、</w:t>
      </w:r>
      <w:r>
        <w:rPr>
          <w:rFonts w:hint="eastAsia" w:ascii="仿宋_GB2312" w:hAnsi="仿宋_GB2312" w:eastAsia="仿宋_GB2312" w:cs="仿宋_GB2312"/>
          <w:color w:val="auto"/>
          <w:kern w:val="0"/>
          <w:sz w:val="32"/>
          <w:szCs w:val="32"/>
        </w:rPr>
        <w:t>抚恤金</w:t>
      </w:r>
      <w:r>
        <w:rPr>
          <w:rFonts w:hint="eastAsia" w:ascii="仿宋_GB2312" w:hAnsi="仿宋_GB2312" w:eastAsia="仿宋_GB2312" w:cs="仿宋_GB2312"/>
          <w:color w:val="auto"/>
          <w:kern w:val="0"/>
          <w:sz w:val="32"/>
          <w:szCs w:val="32"/>
          <w:lang w:val="en-US" w:eastAsia="zh-CN"/>
        </w:rPr>
        <w:t>144.4</w:t>
      </w:r>
      <w:r>
        <w:rPr>
          <w:rFonts w:hint="eastAsia" w:ascii="仿宋_GB2312" w:hAnsi="仿宋_GB2312" w:eastAsia="仿宋_GB2312" w:cs="仿宋_GB2312"/>
          <w:color w:val="auto"/>
          <w:kern w:val="0"/>
          <w:sz w:val="32"/>
          <w:szCs w:val="32"/>
        </w:rPr>
        <w:t>万元、生活补助</w:t>
      </w:r>
      <w:r>
        <w:rPr>
          <w:rFonts w:hint="eastAsia" w:ascii="仿宋_GB2312" w:hAnsi="仿宋_GB2312" w:eastAsia="仿宋_GB2312" w:cs="仿宋_GB2312"/>
          <w:color w:val="auto"/>
          <w:kern w:val="0"/>
          <w:sz w:val="32"/>
          <w:szCs w:val="32"/>
          <w:lang w:val="en-US" w:eastAsia="zh-CN"/>
        </w:rPr>
        <w:t>4.59</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、奖励金</w:t>
      </w:r>
      <w:r>
        <w:rPr>
          <w:rFonts w:hint="eastAsia" w:ascii="仿宋_GB2312" w:hAnsi="仿宋_GB2312" w:eastAsia="仿宋_GB2312" w:cs="仿宋_GB2312"/>
          <w:color w:val="auto"/>
          <w:kern w:val="0"/>
          <w:sz w:val="32"/>
          <w:szCs w:val="32"/>
          <w:lang w:val="en-US" w:eastAsia="zh-CN"/>
        </w:rPr>
        <w:t>4.05万元</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firstLine="643"/>
        <w:jc w:val="both"/>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val="0"/>
          <w:bCs w:val="0"/>
          <w:color w:val="auto"/>
          <w:kern w:val="0"/>
          <w:sz w:val="32"/>
          <w:szCs w:val="32"/>
        </w:rPr>
        <w:t>（二）公用经费 256.28万元。</w:t>
      </w:r>
      <w:r>
        <w:rPr>
          <w:rFonts w:hint="eastAsia" w:ascii="仿宋_GB2312" w:hAnsi="仿宋_GB2312" w:eastAsia="仿宋_GB2312" w:cs="仿宋_GB2312"/>
          <w:color w:val="auto"/>
          <w:kern w:val="0"/>
          <w:sz w:val="32"/>
          <w:szCs w:val="32"/>
        </w:rPr>
        <w:t>主要包括：办公费</w:t>
      </w:r>
      <w:r>
        <w:rPr>
          <w:rFonts w:hint="eastAsia" w:ascii="仿宋_GB2312" w:hAnsi="仿宋_GB2312" w:eastAsia="仿宋_GB2312" w:cs="仿宋_GB2312"/>
          <w:color w:val="auto"/>
          <w:kern w:val="0"/>
          <w:sz w:val="32"/>
          <w:szCs w:val="32"/>
          <w:lang w:val="en-US" w:eastAsia="zh-CN"/>
        </w:rPr>
        <w:t>58.04</w:t>
      </w:r>
      <w:r>
        <w:rPr>
          <w:rFonts w:hint="eastAsia" w:ascii="仿宋_GB2312" w:hAnsi="仿宋_GB2312" w:eastAsia="仿宋_GB2312" w:cs="仿宋_GB2312"/>
          <w:color w:val="auto"/>
          <w:kern w:val="0"/>
          <w:sz w:val="32"/>
          <w:szCs w:val="32"/>
        </w:rPr>
        <w:t>万元、水费</w:t>
      </w:r>
      <w:r>
        <w:rPr>
          <w:rFonts w:hint="eastAsia" w:ascii="仿宋_GB2312" w:hAnsi="仿宋_GB2312" w:eastAsia="仿宋_GB2312" w:cs="仿宋_GB2312"/>
          <w:color w:val="auto"/>
          <w:kern w:val="0"/>
          <w:sz w:val="32"/>
          <w:szCs w:val="32"/>
          <w:lang w:val="en-US" w:eastAsia="zh-CN"/>
        </w:rPr>
        <w:t>1.13</w:t>
      </w:r>
      <w:r>
        <w:rPr>
          <w:rFonts w:hint="eastAsia" w:ascii="仿宋_GB2312" w:hAnsi="仿宋_GB2312" w:eastAsia="仿宋_GB2312" w:cs="仿宋_GB2312"/>
          <w:color w:val="auto"/>
          <w:kern w:val="0"/>
          <w:sz w:val="32"/>
          <w:szCs w:val="32"/>
        </w:rPr>
        <w:t>万元、电费</w:t>
      </w:r>
      <w:r>
        <w:rPr>
          <w:rFonts w:hint="eastAsia" w:ascii="仿宋_GB2312" w:hAnsi="仿宋_GB2312" w:eastAsia="仿宋_GB2312" w:cs="仿宋_GB2312"/>
          <w:color w:val="auto"/>
          <w:kern w:val="0"/>
          <w:sz w:val="32"/>
          <w:szCs w:val="32"/>
          <w:lang w:val="en-US" w:eastAsia="zh-CN"/>
        </w:rPr>
        <w:t>10.51</w:t>
      </w:r>
      <w:r>
        <w:rPr>
          <w:rFonts w:hint="eastAsia" w:ascii="仿宋_GB2312" w:hAnsi="仿宋_GB2312" w:eastAsia="仿宋_GB2312" w:cs="仿宋_GB2312"/>
          <w:color w:val="auto"/>
          <w:kern w:val="0"/>
          <w:sz w:val="32"/>
          <w:szCs w:val="32"/>
        </w:rPr>
        <w:t>万元、邮电费4.0</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万元、取暖费11.08万元、物业管理费29万元、差旅费</w:t>
      </w:r>
      <w:r>
        <w:rPr>
          <w:rFonts w:hint="eastAsia" w:ascii="仿宋_GB2312" w:hAnsi="仿宋_GB2312" w:eastAsia="仿宋_GB2312" w:cs="仿宋_GB2312"/>
          <w:color w:val="auto"/>
          <w:kern w:val="0"/>
          <w:sz w:val="32"/>
          <w:szCs w:val="32"/>
          <w:lang w:val="en-US" w:eastAsia="zh-CN"/>
        </w:rPr>
        <w:t>6.67</w:t>
      </w:r>
      <w:r>
        <w:rPr>
          <w:rFonts w:hint="eastAsia" w:ascii="仿宋_GB2312" w:hAnsi="仿宋_GB2312" w:eastAsia="仿宋_GB2312" w:cs="仿宋_GB2312"/>
          <w:color w:val="auto"/>
          <w:kern w:val="0"/>
          <w:sz w:val="32"/>
          <w:szCs w:val="32"/>
        </w:rPr>
        <w:t>万元、维修（护）费</w:t>
      </w:r>
      <w:r>
        <w:rPr>
          <w:rFonts w:hint="eastAsia" w:ascii="仿宋_GB2312" w:hAnsi="仿宋_GB2312" w:eastAsia="仿宋_GB2312" w:cs="仿宋_GB2312"/>
          <w:color w:val="auto"/>
          <w:kern w:val="0"/>
          <w:sz w:val="32"/>
          <w:szCs w:val="32"/>
          <w:lang w:val="en-US" w:eastAsia="zh-CN"/>
        </w:rPr>
        <w:t>9.35</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租赁费</w:t>
      </w:r>
      <w:r>
        <w:rPr>
          <w:rFonts w:hint="eastAsia" w:ascii="仿宋_GB2312" w:hAnsi="仿宋_GB2312" w:eastAsia="仿宋_GB2312" w:cs="仿宋_GB2312"/>
          <w:color w:val="auto"/>
          <w:kern w:val="0"/>
          <w:sz w:val="32"/>
          <w:szCs w:val="32"/>
          <w:lang w:val="en-US" w:eastAsia="zh-CN"/>
        </w:rPr>
        <w:t>0.1万元、会议费0.63万元、</w:t>
      </w:r>
      <w:r>
        <w:rPr>
          <w:rFonts w:hint="eastAsia" w:ascii="仿宋_GB2312" w:hAnsi="仿宋_GB2312" w:eastAsia="仿宋_GB2312" w:cs="仿宋_GB2312"/>
          <w:color w:val="auto"/>
          <w:kern w:val="0"/>
          <w:sz w:val="32"/>
          <w:szCs w:val="32"/>
        </w:rPr>
        <w:t>培训费</w:t>
      </w:r>
      <w:r>
        <w:rPr>
          <w:rFonts w:hint="eastAsia" w:ascii="仿宋_GB2312" w:hAnsi="仿宋_GB2312" w:eastAsia="仿宋_GB2312" w:cs="仿宋_GB2312"/>
          <w:color w:val="auto"/>
          <w:kern w:val="0"/>
          <w:sz w:val="32"/>
          <w:szCs w:val="32"/>
          <w:lang w:val="en-US" w:eastAsia="zh-CN"/>
        </w:rPr>
        <w:t>6.1</w:t>
      </w:r>
      <w:r>
        <w:rPr>
          <w:rFonts w:hint="eastAsia" w:ascii="仿宋_GB2312" w:hAnsi="仿宋_GB2312" w:eastAsia="仿宋_GB2312" w:cs="仿宋_GB2312"/>
          <w:color w:val="auto"/>
          <w:kern w:val="0"/>
          <w:sz w:val="32"/>
          <w:szCs w:val="32"/>
        </w:rPr>
        <w:t>万元、公务接待费0.94万元、劳务费</w:t>
      </w:r>
      <w:r>
        <w:rPr>
          <w:rFonts w:hint="eastAsia" w:ascii="仿宋_GB2312" w:hAnsi="仿宋_GB2312" w:eastAsia="仿宋_GB2312" w:cs="仿宋_GB2312"/>
          <w:color w:val="auto"/>
          <w:kern w:val="0"/>
          <w:sz w:val="32"/>
          <w:szCs w:val="32"/>
          <w:lang w:val="en-US" w:eastAsia="zh-CN"/>
        </w:rPr>
        <w:t>0.47</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工会经费</w:t>
      </w:r>
      <w:r>
        <w:rPr>
          <w:rFonts w:hint="eastAsia" w:ascii="仿宋_GB2312" w:hAnsi="仿宋_GB2312" w:eastAsia="仿宋_GB2312" w:cs="仿宋_GB2312"/>
          <w:color w:val="auto"/>
          <w:kern w:val="0"/>
          <w:sz w:val="32"/>
          <w:szCs w:val="32"/>
          <w:lang w:val="en-US" w:eastAsia="zh-CN"/>
        </w:rPr>
        <w:t>8万元、</w:t>
      </w:r>
      <w:r>
        <w:rPr>
          <w:rFonts w:hint="eastAsia" w:ascii="仿宋_GB2312" w:hAnsi="仿宋_GB2312" w:eastAsia="仿宋_GB2312" w:cs="仿宋_GB2312"/>
          <w:color w:val="auto"/>
          <w:kern w:val="0"/>
          <w:sz w:val="32"/>
          <w:szCs w:val="32"/>
        </w:rPr>
        <w:t>福利费</w:t>
      </w:r>
      <w:r>
        <w:rPr>
          <w:rFonts w:hint="eastAsia" w:ascii="仿宋_GB2312" w:hAnsi="仿宋_GB2312" w:eastAsia="仿宋_GB2312" w:cs="仿宋_GB2312"/>
          <w:color w:val="auto"/>
          <w:kern w:val="0"/>
          <w:sz w:val="32"/>
          <w:szCs w:val="32"/>
          <w:lang w:val="en-US" w:eastAsia="zh-CN"/>
        </w:rPr>
        <w:t>20.35</w:t>
      </w:r>
      <w:r>
        <w:rPr>
          <w:rFonts w:hint="eastAsia" w:ascii="仿宋_GB2312" w:hAnsi="仿宋_GB2312" w:eastAsia="仿宋_GB2312" w:cs="仿宋_GB2312"/>
          <w:color w:val="auto"/>
          <w:kern w:val="0"/>
          <w:sz w:val="32"/>
          <w:szCs w:val="32"/>
        </w:rPr>
        <w:t>万元、公务用车运行维护费18.2</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万元、其他交通费用</w:t>
      </w:r>
      <w:r>
        <w:rPr>
          <w:rFonts w:hint="eastAsia" w:ascii="仿宋_GB2312" w:hAnsi="仿宋_GB2312" w:eastAsia="仿宋_GB2312" w:cs="仿宋_GB2312"/>
          <w:color w:val="auto"/>
          <w:kern w:val="0"/>
          <w:sz w:val="32"/>
          <w:szCs w:val="32"/>
          <w:lang w:val="en-US" w:eastAsia="zh-CN"/>
        </w:rPr>
        <w:t>57.59</w:t>
      </w:r>
      <w:r>
        <w:rPr>
          <w:rFonts w:hint="eastAsia" w:ascii="仿宋_GB2312" w:hAnsi="仿宋_GB2312" w:eastAsia="仿宋_GB2312" w:cs="仿宋_GB2312"/>
          <w:color w:val="auto"/>
          <w:kern w:val="0"/>
          <w:sz w:val="32"/>
          <w:szCs w:val="32"/>
        </w:rPr>
        <w:t>万元、其他商品和服务支出</w:t>
      </w:r>
      <w:r>
        <w:rPr>
          <w:rFonts w:hint="eastAsia" w:ascii="仿宋_GB2312" w:hAnsi="仿宋_GB2312" w:eastAsia="仿宋_GB2312" w:cs="仿宋_GB2312"/>
          <w:color w:val="auto"/>
          <w:kern w:val="0"/>
          <w:sz w:val="32"/>
          <w:szCs w:val="32"/>
          <w:lang w:val="en-US" w:eastAsia="zh-CN"/>
        </w:rPr>
        <w:t>7.99</w:t>
      </w:r>
      <w:r>
        <w:rPr>
          <w:rFonts w:hint="eastAsia" w:ascii="仿宋_GB2312" w:hAnsi="仿宋_GB2312" w:eastAsia="仿宋_GB2312" w:cs="仿宋_GB2312"/>
          <w:color w:val="auto"/>
          <w:kern w:val="0"/>
          <w:sz w:val="32"/>
          <w:szCs w:val="32"/>
        </w:rPr>
        <w:t>万元、办公设备购置</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万元。</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七、一般公共预算财政拨款项目支出决算情况说明</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2023年度一般公共预算财政拨款项目支出决算 724.35万元，其中：</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Times New Roman" w:cs="Times New Roman"/>
          <w:kern w:val="0"/>
          <w:sz w:val="24"/>
        </w:rPr>
      </w:pPr>
      <w:r>
        <w:rPr>
          <w:rFonts w:hint="eastAsia" w:ascii="楷体" w:hAnsi="楷体" w:eastAsia="楷体" w:cs="楷体"/>
          <w:b w:val="0"/>
          <w:bCs w:val="0"/>
          <w:color w:val="auto"/>
          <w:kern w:val="0"/>
          <w:sz w:val="32"/>
          <w:szCs w:val="32"/>
          <w:u w:val="none"/>
        </w:rPr>
        <w:t>（一）工资福利支出 0.00万元。</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olor w:val="auto"/>
          <w:kern w:val="2"/>
          <w:sz w:val="32"/>
          <w:u w:val="none"/>
        </w:rPr>
      </w:pPr>
      <w:r>
        <w:rPr>
          <w:rFonts w:hint="eastAsia" w:ascii="楷体" w:hAnsi="楷体" w:eastAsia="楷体" w:cs="楷体"/>
          <w:b w:val="0"/>
          <w:bCs w:val="0"/>
          <w:color w:val="auto"/>
          <w:kern w:val="0"/>
          <w:sz w:val="32"/>
          <w:szCs w:val="32"/>
          <w:u w:val="none"/>
        </w:rPr>
        <w:t>（二）商品和服务支出 525.13万元。</w:t>
      </w:r>
      <w:r>
        <w:rPr>
          <w:rFonts w:hint="eastAsia" w:ascii="仿宋_GB2312" w:hAnsi="仿宋_GB2312" w:eastAsia="仿宋_GB2312"/>
          <w:color w:val="auto"/>
          <w:kern w:val="2"/>
          <w:sz w:val="32"/>
          <w:u w:val="none"/>
        </w:rPr>
        <w:t>主要包括：办公费</w:t>
      </w:r>
      <w:r>
        <w:rPr>
          <w:rFonts w:hint="eastAsia" w:ascii="仿宋_GB2312" w:hAnsi="仿宋_GB2312" w:eastAsia="仿宋_GB2312"/>
          <w:color w:val="auto"/>
          <w:kern w:val="2"/>
          <w:sz w:val="32"/>
          <w:u w:val="none"/>
          <w:lang w:val="en-US" w:eastAsia="zh-CN"/>
        </w:rPr>
        <w:t>303</w:t>
      </w:r>
      <w:r>
        <w:rPr>
          <w:rFonts w:hint="eastAsia" w:ascii="仿宋_GB2312" w:hAnsi="仿宋_GB2312" w:eastAsia="仿宋_GB2312"/>
          <w:color w:val="auto"/>
          <w:kern w:val="2"/>
          <w:sz w:val="32"/>
          <w:u w:val="none"/>
        </w:rPr>
        <w:t>万元、印刷费</w:t>
      </w:r>
      <w:r>
        <w:rPr>
          <w:rFonts w:hint="eastAsia" w:ascii="仿宋_GB2312" w:hAnsi="仿宋_GB2312" w:eastAsia="仿宋_GB2312"/>
          <w:color w:val="auto"/>
          <w:kern w:val="2"/>
          <w:sz w:val="32"/>
          <w:u w:val="none"/>
          <w:lang w:val="en-US" w:eastAsia="zh-CN"/>
        </w:rPr>
        <w:t>54.07</w:t>
      </w:r>
      <w:r>
        <w:rPr>
          <w:rFonts w:hint="eastAsia" w:ascii="仿宋_GB2312" w:hAnsi="仿宋_GB2312" w:eastAsia="仿宋_GB2312"/>
          <w:color w:val="auto"/>
          <w:kern w:val="2"/>
          <w:sz w:val="32"/>
          <w:u w:val="none"/>
        </w:rPr>
        <w:t>万元、咨询费</w:t>
      </w:r>
      <w:r>
        <w:rPr>
          <w:rFonts w:hint="eastAsia" w:ascii="仿宋_GB2312" w:hAnsi="仿宋_GB2312" w:eastAsia="仿宋_GB2312"/>
          <w:color w:val="auto"/>
          <w:kern w:val="2"/>
          <w:sz w:val="32"/>
          <w:u w:val="none"/>
          <w:lang w:val="en-US" w:eastAsia="zh-CN"/>
        </w:rPr>
        <w:t>4.71</w:t>
      </w:r>
      <w:r>
        <w:rPr>
          <w:rFonts w:hint="eastAsia" w:ascii="仿宋_GB2312" w:hAnsi="仿宋_GB2312" w:eastAsia="仿宋_GB2312"/>
          <w:color w:val="auto"/>
          <w:kern w:val="2"/>
          <w:sz w:val="32"/>
          <w:u w:val="none"/>
        </w:rPr>
        <w:t>万元、邮电费</w:t>
      </w:r>
      <w:r>
        <w:rPr>
          <w:rFonts w:hint="eastAsia" w:ascii="仿宋_GB2312" w:hAnsi="仿宋_GB2312" w:eastAsia="仿宋_GB2312"/>
          <w:color w:val="auto"/>
          <w:kern w:val="2"/>
          <w:sz w:val="32"/>
          <w:u w:val="none"/>
          <w:lang w:val="en-US" w:eastAsia="zh-CN"/>
        </w:rPr>
        <w:t>5.53</w:t>
      </w:r>
      <w:r>
        <w:rPr>
          <w:rFonts w:hint="eastAsia" w:ascii="仿宋_GB2312" w:hAnsi="仿宋_GB2312" w:eastAsia="仿宋_GB2312"/>
          <w:color w:val="auto"/>
          <w:kern w:val="2"/>
          <w:sz w:val="32"/>
          <w:u w:val="none"/>
        </w:rPr>
        <w:t>万元、差旅费</w:t>
      </w:r>
      <w:r>
        <w:rPr>
          <w:rFonts w:hint="eastAsia" w:ascii="仿宋_GB2312" w:hAnsi="仿宋_GB2312" w:eastAsia="仿宋_GB2312"/>
          <w:color w:val="auto"/>
          <w:kern w:val="2"/>
          <w:sz w:val="32"/>
          <w:u w:val="none"/>
          <w:lang w:val="en-US" w:eastAsia="zh-CN"/>
        </w:rPr>
        <w:t>33.11</w:t>
      </w:r>
      <w:r>
        <w:rPr>
          <w:rFonts w:hint="eastAsia" w:ascii="仿宋_GB2312" w:hAnsi="仿宋_GB2312" w:eastAsia="仿宋_GB2312"/>
          <w:color w:val="auto"/>
          <w:kern w:val="2"/>
          <w:sz w:val="32"/>
          <w:u w:val="none"/>
        </w:rPr>
        <w:t>万元、维修（护）费</w:t>
      </w:r>
      <w:r>
        <w:rPr>
          <w:rFonts w:hint="eastAsia" w:ascii="仿宋_GB2312" w:hAnsi="仿宋_GB2312" w:eastAsia="仿宋_GB2312"/>
          <w:color w:val="auto"/>
          <w:kern w:val="2"/>
          <w:sz w:val="32"/>
          <w:u w:val="none"/>
          <w:lang w:val="en-US" w:eastAsia="zh-CN"/>
        </w:rPr>
        <w:t>23.49</w:t>
      </w:r>
      <w:r>
        <w:rPr>
          <w:rFonts w:hint="eastAsia" w:ascii="仿宋_GB2312" w:hAnsi="仿宋_GB2312" w:eastAsia="仿宋_GB2312"/>
          <w:color w:val="auto"/>
          <w:kern w:val="2"/>
          <w:sz w:val="32"/>
          <w:u w:val="none"/>
        </w:rPr>
        <w:t>万元、会议费</w:t>
      </w:r>
      <w:r>
        <w:rPr>
          <w:rFonts w:hint="eastAsia" w:ascii="仿宋_GB2312" w:hAnsi="仿宋_GB2312" w:eastAsia="仿宋_GB2312"/>
          <w:color w:val="auto"/>
          <w:kern w:val="2"/>
          <w:sz w:val="32"/>
          <w:u w:val="none"/>
          <w:lang w:val="en-US" w:eastAsia="zh-CN"/>
        </w:rPr>
        <w:t>8.28</w:t>
      </w:r>
      <w:r>
        <w:rPr>
          <w:rFonts w:hint="eastAsia" w:ascii="仿宋_GB2312" w:hAnsi="仿宋_GB2312" w:eastAsia="仿宋_GB2312"/>
          <w:color w:val="auto"/>
          <w:kern w:val="2"/>
          <w:sz w:val="32"/>
          <w:u w:val="none"/>
        </w:rPr>
        <w:t>万元、培训费</w:t>
      </w:r>
      <w:r>
        <w:rPr>
          <w:rFonts w:hint="eastAsia" w:ascii="仿宋_GB2312" w:hAnsi="仿宋_GB2312" w:eastAsia="仿宋_GB2312"/>
          <w:color w:val="auto"/>
          <w:kern w:val="2"/>
          <w:sz w:val="32"/>
          <w:u w:val="none"/>
          <w:lang w:val="en-US" w:eastAsia="zh-CN"/>
        </w:rPr>
        <w:t>51.73</w:t>
      </w:r>
      <w:r>
        <w:rPr>
          <w:rFonts w:hint="eastAsia" w:ascii="仿宋_GB2312" w:hAnsi="仿宋_GB2312" w:eastAsia="仿宋_GB2312"/>
          <w:color w:val="auto"/>
          <w:kern w:val="2"/>
          <w:sz w:val="32"/>
          <w:u w:val="none"/>
        </w:rPr>
        <w:t>万元、劳务费</w:t>
      </w:r>
      <w:r>
        <w:rPr>
          <w:rFonts w:hint="eastAsia" w:ascii="仿宋_GB2312" w:hAnsi="仿宋_GB2312" w:eastAsia="仿宋_GB2312"/>
          <w:color w:val="auto"/>
          <w:kern w:val="2"/>
          <w:sz w:val="32"/>
          <w:u w:val="none"/>
          <w:lang w:val="en-US" w:eastAsia="zh-CN"/>
        </w:rPr>
        <w:t>22.69</w:t>
      </w:r>
      <w:r>
        <w:rPr>
          <w:rFonts w:hint="eastAsia" w:ascii="仿宋_GB2312" w:hAnsi="仿宋_GB2312" w:eastAsia="仿宋_GB2312"/>
          <w:color w:val="auto"/>
          <w:kern w:val="2"/>
          <w:sz w:val="32"/>
          <w:u w:val="none"/>
        </w:rPr>
        <w:t>万元、其他交通费用</w:t>
      </w:r>
      <w:r>
        <w:rPr>
          <w:rFonts w:hint="eastAsia" w:ascii="仿宋_GB2312" w:hAnsi="仿宋_GB2312" w:eastAsia="仿宋_GB2312"/>
          <w:color w:val="auto"/>
          <w:kern w:val="2"/>
          <w:sz w:val="32"/>
          <w:u w:val="none"/>
          <w:lang w:val="en-US" w:eastAsia="zh-CN"/>
        </w:rPr>
        <w:t>9.81</w:t>
      </w:r>
      <w:r>
        <w:rPr>
          <w:rFonts w:hint="eastAsia" w:ascii="仿宋_GB2312" w:hAnsi="仿宋_GB2312" w:eastAsia="仿宋_GB2312"/>
          <w:color w:val="auto"/>
          <w:kern w:val="2"/>
          <w:sz w:val="32"/>
          <w:u w:val="none"/>
        </w:rPr>
        <w:t>万元</w:t>
      </w:r>
      <w:r>
        <w:rPr>
          <w:rFonts w:hint="eastAsia" w:ascii="仿宋_GB2312" w:hAnsi="仿宋_GB2312" w:eastAsia="仿宋_GB2312"/>
          <w:color w:val="auto"/>
          <w:kern w:val="2"/>
          <w:sz w:val="32"/>
          <w:u w:val="none"/>
          <w:lang w:eastAsia="zh-CN"/>
        </w:rPr>
        <w:t>、其他商品和服务支出</w:t>
      </w:r>
      <w:r>
        <w:rPr>
          <w:rFonts w:hint="eastAsia" w:ascii="仿宋_GB2312" w:hAnsi="仿宋_GB2312" w:eastAsia="仿宋_GB2312"/>
          <w:color w:val="auto"/>
          <w:kern w:val="2"/>
          <w:sz w:val="32"/>
          <w:u w:val="none"/>
          <w:lang w:val="en-US" w:eastAsia="zh-CN"/>
        </w:rPr>
        <w:t>8.7万元</w:t>
      </w:r>
      <w:r>
        <w:rPr>
          <w:rFonts w:hint="eastAsia" w:ascii="仿宋_GB2312" w:hAnsi="仿宋_GB2312" w:eastAsia="仿宋_GB2312"/>
          <w:color w:val="auto"/>
          <w:kern w:val="2"/>
          <w:sz w:val="32"/>
          <w:u w:val="none"/>
        </w:rPr>
        <w:t>。</w:t>
      </w:r>
    </w:p>
    <w:p>
      <w:pPr>
        <w:keepNext w:val="0"/>
        <w:keepLines w:val="0"/>
        <w:pageBreakBefore w:val="0"/>
        <w:kinsoku/>
        <w:wordWrap/>
        <w:overflowPunct/>
        <w:topLinePunct w:val="0"/>
        <w:autoSpaceDE/>
        <w:autoSpaceDN/>
        <w:bidi w:val="0"/>
        <w:spacing w:line="580" w:lineRule="exact"/>
        <w:ind w:firstLine="643"/>
        <w:jc w:val="both"/>
        <w:textAlignment w:val="auto"/>
        <w:rPr>
          <w:rFonts w:hint="eastAsia" w:ascii="仿宋_GB2312" w:hAnsi="仿宋_GB2312" w:eastAsia="仿宋_GB2312"/>
          <w:color w:val="auto"/>
          <w:kern w:val="2"/>
          <w:sz w:val="32"/>
          <w:u w:val="none"/>
        </w:rPr>
      </w:pPr>
      <w:r>
        <w:rPr>
          <w:rFonts w:hint="eastAsia" w:ascii="楷体" w:hAnsi="楷体" w:eastAsia="楷体" w:cs="楷体"/>
          <w:b w:val="0"/>
          <w:bCs w:val="0"/>
          <w:color w:val="auto"/>
          <w:kern w:val="0"/>
          <w:sz w:val="32"/>
          <w:szCs w:val="32"/>
          <w:u w:val="none"/>
        </w:rPr>
        <w:t>（三）资本性支出</w:t>
      </w:r>
      <w:r>
        <w:rPr>
          <w:rFonts w:hint="eastAsia" w:ascii="楷体" w:hAnsi="楷体" w:eastAsia="楷体" w:cs="楷体"/>
          <w:b w:val="0"/>
          <w:bCs w:val="0"/>
          <w:color w:val="auto"/>
          <w:kern w:val="0"/>
          <w:sz w:val="32"/>
          <w:szCs w:val="32"/>
          <w:u w:val="none"/>
          <w:lang w:val="en-US" w:eastAsia="zh-CN"/>
        </w:rPr>
        <w:t>199.22</w:t>
      </w:r>
      <w:r>
        <w:rPr>
          <w:rFonts w:hint="eastAsia" w:ascii="楷体" w:hAnsi="楷体" w:eastAsia="楷体" w:cs="楷体"/>
          <w:b w:val="0"/>
          <w:bCs w:val="0"/>
          <w:color w:val="auto"/>
          <w:kern w:val="0"/>
          <w:sz w:val="32"/>
          <w:szCs w:val="32"/>
          <w:u w:val="none"/>
        </w:rPr>
        <w:t>万元。</w:t>
      </w:r>
      <w:r>
        <w:rPr>
          <w:rFonts w:hint="eastAsia" w:ascii="仿宋_GB2312" w:hAnsi="仿宋_GB2312" w:eastAsia="仿宋_GB2312"/>
          <w:color w:val="auto"/>
          <w:kern w:val="2"/>
          <w:sz w:val="32"/>
          <w:u w:val="none"/>
        </w:rPr>
        <w:t>主要包括：办公设备购置</w:t>
      </w:r>
      <w:r>
        <w:rPr>
          <w:rFonts w:hint="eastAsia" w:ascii="仿宋_GB2312" w:hAnsi="仿宋_GB2312" w:eastAsia="仿宋_GB2312"/>
          <w:color w:val="auto"/>
          <w:kern w:val="2"/>
          <w:sz w:val="32"/>
          <w:u w:val="none"/>
          <w:lang w:val="en-US" w:eastAsia="zh-CN"/>
        </w:rPr>
        <w:t>49.86</w:t>
      </w:r>
      <w:r>
        <w:rPr>
          <w:rFonts w:hint="eastAsia" w:ascii="仿宋_GB2312" w:hAnsi="仿宋_GB2312" w:eastAsia="仿宋_GB2312"/>
          <w:color w:val="auto"/>
          <w:kern w:val="2"/>
          <w:sz w:val="32"/>
          <w:u w:val="none"/>
        </w:rPr>
        <w:t>万元、信息网络及软件购置更新</w:t>
      </w:r>
      <w:r>
        <w:rPr>
          <w:rFonts w:hint="eastAsia" w:ascii="仿宋_GB2312" w:hAnsi="仿宋_GB2312" w:eastAsia="仿宋_GB2312"/>
          <w:color w:val="auto"/>
          <w:kern w:val="2"/>
          <w:sz w:val="32"/>
          <w:u w:val="none"/>
          <w:lang w:val="en-US" w:eastAsia="zh-CN"/>
        </w:rPr>
        <w:t>149.36</w:t>
      </w:r>
      <w:r>
        <w:rPr>
          <w:rFonts w:hint="eastAsia" w:ascii="仿宋_GB2312" w:hAnsi="仿宋_GB2312" w:eastAsia="仿宋_GB2312"/>
          <w:color w:val="auto"/>
          <w:kern w:val="2"/>
          <w:sz w:val="32"/>
          <w:u w:val="none"/>
        </w:rPr>
        <w:t>万元。</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八、财政拨款“三公”经费支出决算情况说明</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（一）财政拨款“三公”经费支出总体情况说明。</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rPr>
        <w:t>赤峰市司法局（本级） 2023年度财政拨款“三公”经费全年预算 35.94万元，支出决算 19.20万元，完成预算的 53.43%。其中：因公出国（境）费全年预算 0.00万元，支出决算 0.00万元；公务用车购置及运行维护费全年预算 35.00万元，支出决算 18.26万元，完成预算的 52.19%；公务接待费全年预算 0.94万元，支出决算 0.94万元，完成预算的 100.00%。2023年度一般公共预算财政拨款“三公”经费支出决算与预算差异原因</w:t>
      </w:r>
      <w:r>
        <w:rPr>
          <w:rFonts w:hint="eastAsia" w:ascii="仿宋_GB2312" w:hAnsi="仿宋_GB2312" w:eastAsia="仿宋_GB2312" w:cs="仿宋_GB2312"/>
          <w:color w:val="auto"/>
          <w:kern w:val="0"/>
          <w:sz w:val="32"/>
          <w:szCs w:val="32"/>
          <w:u w:val="none"/>
          <w:lang w:eastAsia="zh-CN"/>
        </w:rPr>
        <w:t>：本年本着厉行节约的原则，继续压减公务用车和公务接待支出，</w:t>
      </w:r>
      <w:r>
        <w:rPr>
          <w:rFonts w:hint="eastAsia" w:ascii="仿宋_GB2312" w:hAnsi="仿宋_GB2312" w:eastAsia="仿宋_GB2312" w:cs="仿宋_GB2312"/>
          <w:color w:val="auto"/>
          <w:kern w:val="0"/>
          <w:sz w:val="32"/>
          <w:szCs w:val="32"/>
          <w:u w:val="none"/>
        </w:rPr>
        <w:t>“三公”</w:t>
      </w:r>
      <w:r>
        <w:rPr>
          <w:rFonts w:hint="eastAsia" w:ascii="仿宋_GB2312" w:hAnsi="仿宋_GB2312" w:eastAsia="仿宋_GB2312" w:cs="仿宋_GB2312"/>
          <w:color w:val="auto"/>
          <w:kern w:val="0"/>
          <w:sz w:val="32"/>
          <w:szCs w:val="32"/>
          <w:u w:val="none"/>
          <w:lang w:eastAsia="zh-CN"/>
        </w:rPr>
        <w:t>经费不超预算支出，不超上年支出。</w:t>
      </w:r>
    </w:p>
    <w:p>
      <w:pPr>
        <w:keepNext w:val="0"/>
        <w:keepLines w:val="0"/>
        <w:pageBreakBefore w:val="0"/>
        <w:numPr>
          <w:ilvl w:val="0"/>
          <w:numId w:val="12"/>
        </w:numPr>
        <w:kinsoku/>
        <w:wordWrap/>
        <w:overflowPunct/>
        <w:topLinePunct w:val="0"/>
        <w:autoSpaceDE/>
        <w:autoSpaceDN/>
        <w:bidi w:val="0"/>
        <w:spacing w:line="580" w:lineRule="exact"/>
        <w:ind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财政拨款“三公”经费支出具体情况说明。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2023年度财政拨款“三公”经费支出 19.20万元。因公出国（境）费支出 0.00万元，占 0.00%；公务用车购置及运行维护费支出 18.26万元，占 95.12%；公务接待费支出 0.94万元，占 4.88%。其中：</w:t>
      </w:r>
    </w:p>
    <w:p>
      <w:pPr>
        <w:keepNext w:val="0"/>
        <w:keepLines w:val="0"/>
        <w:pageBreakBefore w:val="0"/>
        <w:widowControl/>
        <w:numPr>
          <w:ilvl w:val="0"/>
          <w:numId w:val="13"/>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因公出国（境）费支出 0.00万元，全年出国（境）团组0 个，累计0 人次。与上年决算相比，增加（减少） 0.00万元，增长</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p>
    <w:p>
      <w:pPr>
        <w:keepNext w:val="0"/>
        <w:keepLines w:val="0"/>
        <w:pageBreakBefore w:val="0"/>
        <w:widowControl/>
        <w:numPr>
          <w:ilvl w:val="0"/>
          <w:numId w:val="13"/>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公务用车购置及运行维护费支出 18.26万元。其中：</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（1）公务用车购置支出 0.00万元。本年度使用财政拨款购置公务用车0 辆。与上年决算相比，增加 0.00万元，增长</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（2）公务用车运行维护费支出 18.26万元。公务用车运行维护费主要用于按规定保留的公务用车的燃料费、维修费、过桥过路费、保险费、安全奖励费用等支出。截至2023年12月31日，使用财政拨款开支的公务用车保有量为6 辆。与上年决算相比，减少</w:t>
      </w:r>
      <w:r>
        <w:rPr>
          <w:rFonts w:hint="default" w:ascii="仿宋_GB2312" w:hAnsi="仿宋_GB2312" w:eastAsia="仿宋_GB2312" w:cs="仿宋_GB2312"/>
          <w:color w:val="auto"/>
          <w:kern w:val="0"/>
          <w:sz w:val="32"/>
          <w:szCs w:val="32"/>
          <w:u w:val="none"/>
        </w:rPr>
        <w:t>0.01</w:t>
      </w:r>
      <w:r>
        <w:rPr>
          <w:rFonts w:hint="eastAsia" w:ascii="仿宋_GB2312" w:hAnsi="仿宋_GB2312" w:eastAsia="仿宋_GB2312" w:cs="仿宋_GB2312"/>
          <w:color w:val="auto"/>
          <w:kern w:val="0"/>
          <w:sz w:val="32"/>
          <w:szCs w:val="32"/>
          <w:u w:val="none"/>
        </w:rPr>
        <w:t>万元，减少</w:t>
      </w:r>
      <w:r>
        <w:rPr>
          <w:rFonts w:hint="default" w:ascii="仿宋_GB2312" w:hAnsi="仿宋_GB2312" w:eastAsia="仿宋_GB2312" w:cs="仿宋_GB2312"/>
          <w:color w:val="auto"/>
          <w:kern w:val="0"/>
          <w:sz w:val="32"/>
          <w:szCs w:val="32"/>
          <w:u w:val="none"/>
        </w:rPr>
        <w:t>0</w:t>
      </w:r>
      <w:r>
        <w:rPr>
          <w:rFonts w:hint="eastAsia" w:ascii="仿宋_GB2312" w:hAnsi="仿宋_GB2312" w:eastAsia="仿宋_GB2312" w:cs="仿宋_GB2312"/>
          <w:color w:val="auto"/>
          <w:kern w:val="0"/>
          <w:sz w:val="32"/>
          <w:szCs w:val="32"/>
          <w:u w:val="none"/>
          <w:lang w:val="en-US" w:eastAsia="zh-CN"/>
        </w:rPr>
        <w:t>.05</w:t>
      </w:r>
      <w:r>
        <w:rPr>
          <w:rFonts w:hint="eastAsia" w:ascii="仿宋_GB2312" w:hAnsi="仿宋_GB2312" w:eastAsia="仿宋_GB2312" w:cs="仿宋_GB2312"/>
          <w:color w:val="auto"/>
          <w:kern w:val="0"/>
          <w:sz w:val="32"/>
          <w:szCs w:val="32"/>
          <w:u w:val="none"/>
        </w:rPr>
        <w:t>%，变动原因：</w:t>
      </w:r>
      <w:r>
        <w:rPr>
          <w:rFonts w:hint="eastAsia" w:ascii="仿宋_GB2312" w:hAnsi="仿宋_GB2312" w:eastAsia="仿宋_GB2312" w:cs="仿宋_GB2312"/>
          <w:color w:val="auto"/>
          <w:kern w:val="0"/>
          <w:sz w:val="32"/>
          <w:szCs w:val="32"/>
          <w:u w:val="none"/>
          <w:lang w:eastAsia="zh-CN"/>
        </w:rPr>
        <w:t>本年本着厉行节约的原则，继续压减公务用车支出，减少用车次数，公务用车运行维护费支出不超预算支出，不超上年支出。</w:t>
      </w:r>
    </w:p>
    <w:p>
      <w:pPr>
        <w:keepNext w:val="0"/>
        <w:keepLines w:val="0"/>
        <w:pageBreakBefore w:val="0"/>
        <w:widowControl/>
        <w:numPr>
          <w:ilvl w:val="0"/>
          <w:numId w:val="13"/>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公务接待费支出 0.94万元。其中：国内公务接待支出 0.94万元，接待9批次，79 人次，开支内容：</w:t>
      </w:r>
      <w:r>
        <w:rPr>
          <w:rFonts w:hint="eastAsia" w:ascii="仿宋_GB2312" w:hAnsi="仿宋_GB2312" w:eastAsia="仿宋_GB2312" w:cs="仿宋_GB2312"/>
          <w:color w:val="auto"/>
          <w:kern w:val="0"/>
          <w:sz w:val="32"/>
          <w:szCs w:val="32"/>
          <w:highlight w:val="none"/>
          <w:u w:val="none"/>
          <w:lang w:eastAsia="zh-CN"/>
        </w:rPr>
        <w:t>接待全区司法行政系统安全生产信访维稳排查督查、全区综合行政执法状况调研、兴安盟司法局考察学习及自治区司法厅法考督考等</w:t>
      </w:r>
      <w:r>
        <w:rPr>
          <w:rFonts w:hint="eastAsia" w:ascii="仿宋_GB2312" w:hAnsi="仿宋_GB2312" w:eastAsia="仿宋_GB2312" w:cs="仿宋_GB2312"/>
          <w:color w:val="auto"/>
          <w:kern w:val="0"/>
          <w:sz w:val="32"/>
          <w:szCs w:val="32"/>
          <w:u w:val="none"/>
        </w:rPr>
        <w:t>；国（境）外公务接待支出 0.00万元，接待0 批次，0 人次。与上年决算相比，增加0.0万元，减少0.15%，变动原因：</w:t>
      </w:r>
      <w:r>
        <w:rPr>
          <w:rFonts w:hint="eastAsia" w:ascii="仿宋_GB2312" w:hAnsi="仿宋_GB2312" w:eastAsia="仿宋_GB2312" w:cs="仿宋_GB2312"/>
          <w:color w:val="auto"/>
          <w:kern w:val="0"/>
          <w:sz w:val="32"/>
          <w:szCs w:val="32"/>
          <w:u w:val="none"/>
          <w:lang w:eastAsia="zh-CN"/>
        </w:rPr>
        <w:t>本年本着厉行节约的原则，继续压减公务接待支出，公务接待费支出不超预算支出，不超上年支出。</w:t>
      </w:r>
    </w:p>
    <w:p>
      <w:pPr>
        <w:keepNext w:val="0"/>
        <w:keepLines w:val="0"/>
        <w:pageBreakBefore w:val="0"/>
        <w:widowControl/>
        <w:numPr>
          <w:ilvl w:val="0"/>
          <w:numId w:val="14"/>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政府性基金预算财政拨款支出决算情况说明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2023年度政府性基金预算财政拨款支出决算 0.00万元。与上年决算相比，增加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%，变动原因：本</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rPr>
        <w:t>无政府性基金预算财政拨款</w:t>
      </w:r>
      <w:r>
        <w:rPr>
          <w:rFonts w:hint="eastAsia" w:ascii="仿宋_GB2312" w:hAnsi="仿宋_GB2312" w:eastAsia="仿宋_GB2312" w:cs="仿宋_GB2312"/>
          <w:color w:val="auto"/>
          <w:kern w:val="0"/>
          <w:sz w:val="32"/>
          <w:szCs w:val="32"/>
          <w:lang w:eastAsia="zh-CN"/>
        </w:rPr>
        <w:t>收、支、余</w:t>
      </w:r>
      <w:r>
        <w:rPr>
          <w:rFonts w:hint="eastAsia" w:ascii="仿宋_GB2312" w:hAnsi="仿宋_GB2312" w:eastAsia="仿宋_GB2312" w:cs="仿宋_GB2312"/>
          <w:color w:val="auto"/>
          <w:kern w:val="0"/>
          <w:sz w:val="32"/>
          <w:szCs w:val="32"/>
        </w:rPr>
        <w:t>。</w:t>
      </w:r>
    </w:p>
    <w:p>
      <w:pPr>
        <w:keepNext w:val="0"/>
        <w:keepLines w:val="0"/>
        <w:pageBreakBefore w:val="0"/>
        <w:widowControl/>
        <w:numPr>
          <w:ilvl w:val="0"/>
          <w:numId w:val="14"/>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国有资本经营预算财政拨款支出决算情况说明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赤峰市司法局（本级） 2023年度国有资本经营预算财政拨款支出决算 0.00万元。与上年决算相比，增加 0.00万元，增长0%，变动原因：本单位无国有资本经营预算财政拨款收、支、余。</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numPr>
          <w:ilvl w:val="0"/>
          <w:numId w:val="14"/>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机构运行经费支出决算情况说明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2023年度机构运行经费支出决算 256.28万元。比上年决算相比，增加 37.10万元，增长 16.93%，变动原因：</w:t>
      </w:r>
      <w:r>
        <w:rPr>
          <w:rFonts w:hint="eastAsia" w:ascii="仿宋_GB2312" w:hAnsi="仿宋_GB2312" w:eastAsia="仿宋_GB2312" w:cs="仿宋_GB2312"/>
          <w:color w:val="auto"/>
          <w:kern w:val="0"/>
          <w:sz w:val="32"/>
          <w:szCs w:val="32"/>
          <w:lang w:eastAsia="zh-CN"/>
        </w:rPr>
        <w:t>本年由于调入及新考录人员增加，增加了办公费、水电费等支出；</w:t>
      </w:r>
      <w:r>
        <w:rPr>
          <w:rFonts w:hint="eastAsia" w:ascii="仿宋_GB2312" w:hAnsi="仿宋_GB2312" w:eastAsia="仿宋_GB2312" w:cs="仿宋_GB2312"/>
          <w:color w:val="auto"/>
          <w:kern w:val="0"/>
          <w:sz w:val="32"/>
          <w:szCs w:val="32"/>
        </w:rPr>
        <w:t>本年增加数字司法所建设和智慧矫正工作培训班，行政执法培训班，基层司法干警培训班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行政复议培训班等培训费支出</w:t>
      </w:r>
      <w:r>
        <w:rPr>
          <w:rFonts w:hint="eastAsia" w:ascii="仿宋_GB2312" w:hAnsi="仿宋_GB2312" w:eastAsia="仿宋_GB2312" w:cs="仿宋_GB2312"/>
          <w:color w:val="auto"/>
          <w:kern w:val="0"/>
          <w:sz w:val="32"/>
          <w:szCs w:val="32"/>
          <w:lang w:eastAsia="zh-CN"/>
        </w:rPr>
        <w:t>；增加</w:t>
      </w:r>
      <w:r>
        <w:rPr>
          <w:rFonts w:hint="eastAsia" w:ascii="仿宋_GB2312" w:hAnsi="仿宋_GB2312" w:eastAsia="仿宋_GB2312" w:cs="仿宋_GB2312"/>
          <w:color w:val="auto"/>
          <w:kern w:val="0"/>
          <w:sz w:val="32"/>
          <w:szCs w:val="32"/>
        </w:rPr>
        <w:t>法治政府观摩会、人民调解员代表大会等会议费支出。</w:t>
      </w:r>
    </w:p>
    <w:p>
      <w:pPr>
        <w:keepNext w:val="0"/>
        <w:keepLines w:val="0"/>
        <w:pageBreakBefore w:val="0"/>
        <w:widowControl/>
        <w:numPr>
          <w:ilvl w:val="0"/>
          <w:numId w:val="14"/>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政府采购支出决算情况说明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赤峰市司法局（本级） 2023年度政府采购支出总额 94.80万元，其中：政府采购货物支出 23.50万元、政府采购工程支出 0.00万元、政府采购服务支出 71.30万元。政府采购授予中小企业合同金额 48.09万元，占政府采购支出总额的</w:t>
      </w:r>
      <w:r>
        <w:rPr>
          <w:rFonts w:hint="eastAsia" w:ascii="仿宋_GB2312" w:hAnsi="仿宋_GB2312" w:eastAsia="仿宋_GB2312" w:cs="仿宋_GB2312"/>
          <w:color w:val="auto"/>
          <w:kern w:val="0"/>
          <w:sz w:val="32"/>
          <w:szCs w:val="32"/>
          <w:u w:val="none"/>
          <w:lang w:val="en-US" w:eastAsia="zh-CN"/>
        </w:rPr>
        <w:t>50.73</w:t>
      </w:r>
      <w:r>
        <w:rPr>
          <w:rFonts w:hint="eastAsia" w:ascii="仿宋_GB2312" w:hAnsi="仿宋_GB2312" w:eastAsia="仿宋_GB2312" w:cs="仿宋_GB2312"/>
          <w:color w:val="auto"/>
          <w:kern w:val="0"/>
          <w:sz w:val="32"/>
          <w:szCs w:val="32"/>
          <w:u w:val="none"/>
        </w:rPr>
        <w:t>%，其中：授予小微企业合同金额  48.09万元，占政府采购支出总额的</w:t>
      </w:r>
      <w:r>
        <w:rPr>
          <w:rFonts w:hint="eastAsia" w:ascii="仿宋_GB2312" w:hAnsi="仿宋_GB2312" w:eastAsia="仿宋_GB2312" w:cs="仿宋_GB2312"/>
          <w:color w:val="auto"/>
          <w:kern w:val="0"/>
          <w:sz w:val="32"/>
          <w:szCs w:val="32"/>
          <w:u w:val="none"/>
          <w:lang w:val="en-US" w:eastAsia="zh-CN"/>
        </w:rPr>
        <w:t>50.73</w:t>
      </w:r>
      <w:r>
        <w:rPr>
          <w:rFonts w:hint="eastAsia" w:ascii="仿宋_GB2312" w:hAnsi="仿宋_GB2312" w:eastAsia="仿宋_GB2312" w:cs="仿宋_GB2312"/>
          <w:color w:val="auto"/>
          <w:kern w:val="0"/>
          <w:sz w:val="32"/>
          <w:szCs w:val="32"/>
          <w:u w:val="none"/>
        </w:rPr>
        <w:t>%；货物采购授予中小企业合同金额占货物支出金额的</w:t>
      </w:r>
      <w:r>
        <w:rPr>
          <w:rFonts w:hint="eastAsia" w:ascii="仿宋_GB2312" w:hAnsi="仿宋_GB2312" w:eastAsia="仿宋_GB2312" w:cs="仿宋_GB2312"/>
          <w:color w:val="auto"/>
          <w:kern w:val="0"/>
          <w:sz w:val="32"/>
          <w:szCs w:val="32"/>
          <w:u w:val="none"/>
          <w:lang w:val="en-US" w:eastAsia="zh-CN"/>
        </w:rPr>
        <w:t>24.79</w:t>
      </w:r>
      <w:r>
        <w:rPr>
          <w:rFonts w:hint="eastAsia" w:ascii="仿宋_GB2312" w:hAnsi="仿宋_GB2312" w:eastAsia="仿宋_GB2312" w:cs="仿宋_GB2312"/>
          <w:color w:val="auto"/>
          <w:kern w:val="0"/>
          <w:sz w:val="32"/>
          <w:szCs w:val="32"/>
          <w:u w:val="none"/>
        </w:rPr>
        <w:t>%，工程采购授予中小企业合同金额占工程支出金额的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%，服务采购授予中小企业合同金额占服务支出金额的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p>
    <w:p>
      <w:pPr>
        <w:keepNext w:val="0"/>
        <w:keepLines w:val="0"/>
        <w:pageBreakBefore w:val="0"/>
        <w:widowControl/>
        <w:numPr>
          <w:ilvl w:val="0"/>
          <w:numId w:val="14"/>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国有资产占用情况说明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赤峰市司法局（本级） 截至2023年12月31日，本部门（单位）共有车辆 6辆，其中：副部（省）级及以上领导用车0 辆、主要负责人用车 0辆、机要通信用车 1辆、应急保障用车 1辆、执法执勤用车 4辆、特种专业技术用车 0辆、离退休干部服务用车 0辆，其他用车 0辆；单价100万元（含）以上的设备（不含车辆） 0台（套）。</w:t>
      </w:r>
      <w:r>
        <w:rPr>
          <w:rFonts w:hint="eastAsia" w:ascii="仿宋_GB2312" w:hAnsi="仿宋_GB2312" w:eastAsia="仿宋_GB2312" w:cs="仿宋_GB2312"/>
          <w:color w:val="auto"/>
          <w:kern w:val="0"/>
          <w:sz w:val="32"/>
          <w:szCs w:val="32"/>
          <w:u w:val="none"/>
          <w:lang w:val="en-US" w:eastAsia="en-US"/>
        </w:rPr>
        <w:t> </w:t>
      </w:r>
    </w:p>
    <w:p>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ascii="黑体" w:hAnsi="黑体" w:eastAsia="黑体" w:cs="黑体"/>
          <w:b w:val="0"/>
          <w:bCs w:val="0"/>
          <w:color w:val="auto"/>
          <w:kern w:val="0"/>
          <w:sz w:val="32"/>
          <w:szCs w:val="32"/>
        </w:rPr>
      </w:pPr>
      <w:r>
        <w:rPr>
          <w:rFonts w:ascii="黑体" w:hAnsi="黑体" w:eastAsia="黑体" w:cs="黑体"/>
          <w:b w:val="0"/>
          <w:bCs w:val="0"/>
          <w:color w:val="auto"/>
          <w:kern w:val="0"/>
          <w:sz w:val="32"/>
          <w:szCs w:val="32"/>
        </w:rPr>
        <w:t>十四、预算绩效情况说明</w:t>
      </w:r>
    </w:p>
    <w:p>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ascii="楷体" w:hAnsi="楷体" w:eastAsia="楷体" w:cs="楷体"/>
          <w:b w:val="0"/>
          <w:bCs w:val="0"/>
          <w:color w:val="auto"/>
          <w:kern w:val="0"/>
          <w:sz w:val="32"/>
          <w:szCs w:val="32"/>
        </w:rPr>
      </w:pPr>
      <w:r>
        <w:rPr>
          <w:rFonts w:ascii="楷体" w:hAnsi="楷体" w:eastAsia="楷体" w:cs="楷体"/>
          <w:b w:val="0"/>
          <w:bCs w:val="0"/>
          <w:color w:val="auto"/>
          <w:kern w:val="0"/>
          <w:sz w:val="32"/>
          <w:szCs w:val="32"/>
        </w:rPr>
        <w:t>（一）预算绩效管理工作开展情况。</w:t>
      </w:r>
    </w:p>
    <w:p>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赤峰市司法局（本级）根据预算绩效管理要求组织对</w:t>
      </w:r>
      <w:r>
        <w:rPr>
          <w:rFonts w:hint="eastAsia" w:ascii="仿宋_GB2312" w:hAnsi="仿宋_GB2312" w:eastAsia="仿宋_GB2312" w:cs="仿宋_GB2312"/>
          <w:color w:val="auto"/>
          <w:kern w:val="0"/>
          <w:sz w:val="32"/>
          <w:szCs w:val="32"/>
          <w:u w:val="none"/>
          <w:lang w:val="en-US" w:eastAsia="zh-CN"/>
        </w:rPr>
        <w:t>2023</w:t>
      </w:r>
      <w:r>
        <w:rPr>
          <w:rFonts w:hint="eastAsia" w:ascii="仿宋_GB2312" w:hAnsi="仿宋_GB2312" w:eastAsia="仿宋_GB2312" w:cs="仿宋_GB2312"/>
          <w:color w:val="auto"/>
          <w:kern w:val="0"/>
          <w:sz w:val="32"/>
          <w:szCs w:val="32"/>
          <w:u w:val="none"/>
          <w:lang w:eastAsia="zh-CN"/>
        </w:rPr>
        <w:t>年项目支出开展绩效自评。其中一般公共预算项目</w:t>
      </w:r>
      <w:r>
        <w:rPr>
          <w:rFonts w:hint="eastAsia" w:ascii="仿宋_GB2312" w:hAnsi="仿宋_GB2312" w:eastAsia="仿宋_GB2312" w:cs="仿宋_GB2312"/>
          <w:color w:val="auto"/>
          <w:kern w:val="0"/>
          <w:sz w:val="32"/>
          <w:szCs w:val="32"/>
          <w:u w:val="none"/>
          <w:lang w:val="en-US" w:eastAsia="zh-CN"/>
        </w:rPr>
        <w:t>8</w:t>
      </w:r>
      <w:r>
        <w:rPr>
          <w:rFonts w:hint="eastAsia" w:ascii="仿宋_GB2312" w:hAnsi="仿宋_GB2312" w:eastAsia="仿宋_GB2312" w:cs="仿宋_GB2312"/>
          <w:color w:val="auto"/>
          <w:kern w:val="0"/>
          <w:sz w:val="32"/>
          <w:szCs w:val="32"/>
          <w:u w:val="none"/>
          <w:lang w:eastAsia="zh-CN"/>
        </w:rPr>
        <w:t>个，涉及资金</w:t>
      </w:r>
      <w:r>
        <w:rPr>
          <w:rFonts w:hint="eastAsia" w:ascii="仿宋_GB2312" w:hAnsi="仿宋_GB2312" w:eastAsia="仿宋_GB2312" w:cs="仿宋_GB2312"/>
          <w:color w:val="auto"/>
          <w:kern w:val="0"/>
          <w:sz w:val="32"/>
          <w:szCs w:val="32"/>
          <w:u w:val="none"/>
          <w:lang w:val="en-US" w:eastAsia="zh-CN"/>
        </w:rPr>
        <w:t>805.05</w:t>
      </w:r>
      <w:r>
        <w:rPr>
          <w:rFonts w:hint="eastAsia" w:ascii="仿宋_GB2312" w:hAnsi="仿宋_GB2312" w:eastAsia="仿宋_GB2312" w:cs="仿宋_GB2312"/>
          <w:color w:val="auto"/>
          <w:kern w:val="0"/>
          <w:sz w:val="32"/>
          <w:szCs w:val="32"/>
          <w:u w:val="none"/>
          <w:lang w:eastAsia="zh-CN"/>
        </w:rPr>
        <w:t>万元，占一般公共预算项目支出总额的</w:t>
      </w:r>
      <w:r>
        <w:rPr>
          <w:rFonts w:hint="eastAsia" w:ascii="仿宋_GB2312" w:hAnsi="仿宋_GB2312" w:eastAsia="仿宋_GB2312" w:cs="仿宋_GB2312"/>
          <w:color w:val="auto"/>
          <w:kern w:val="0"/>
          <w:sz w:val="32"/>
          <w:szCs w:val="32"/>
          <w:u w:val="none"/>
          <w:lang w:eastAsia="en-US"/>
        </w:rPr>
        <w:t>100%</w:t>
      </w:r>
      <w:r>
        <w:rPr>
          <w:rFonts w:hint="eastAsia" w:ascii="仿宋_GB2312" w:hAnsi="仿宋_GB2312" w:eastAsia="仿宋_GB2312" w:cs="仿宋_GB2312"/>
          <w:color w:val="auto"/>
          <w:kern w:val="0"/>
          <w:sz w:val="32"/>
          <w:szCs w:val="32"/>
          <w:u w:val="none"/>
          <w:lang w:eastAsia="zh-CN"/>
        </w:rPr>
        <w:t>；政府性基金预算项目</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个，涉及资金</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万元，占应纳入绩效自评的政府性基金预算项目支出总额的</w:t>
      </w:r>
      <w:r>
        <w:rPr>
          <w:rFonts w:hint="eastAsia" w:ascii="仿宋_GB2312" w:hAnsi="仿宋_GB2312" w:eastAsia="仿宋_GB2312" w:cs="仿宋_GB2312"/>
          <w:color w:val="auto"/>
          <w:kern w:val="0"/>
          <w:sz w:val="32"/>
          <w:szCs w:val="32"/>
          <w:u w:val="none"/>
          <w:lang w:eastAsia="en-US"/>
        </w:rPr>
        <w:t>100%</w:t>
      </w:r>
      <w:r>
        <w:rPr>
          <w:rFonts w:hint="eastAsia" w:ascii="仿宋_GB2312" w:hAnsi="仿宋_GB2312" w:eastAsia="仿宋_GB2312" w:cs="仿宋_GB2312"/>
          <w:color w:val="auto"/>
          <w:kern w:val="0"/>
          <w:sz w:val="32"/>
          <w:szCs w:val="32"/>
          <w:u w:val="none"/>
          <w:lang w:eastAsia="zh-CN"/>
        </w:rPr>
        <w:t>。</w:t>
      </w:r>
    </w:p>
    <w:p>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color w:val="auto"/>
          <w:kern w:val="0"/>
          <w:sz w:val="32"/>
          <w:szCs w:val="32"/>
          <w:u w:val="none"/>
          <w:lang w:eastAsia="zh-CN"/>
        </w:rPr>
      </w:pPr>
      <w:bookmarkStart w:id="1" w:name="OLE_LINK1"/>
      <w:r>
        <w:rPr>
          <w:rFonts w:hint="eastAsia" w:ascii="仿宋_GB2312" w:hAnsi="仿宋_GB2312" w:eastAsia="仿宋_GB2312" w:cs="仿宋_GB2312"/>
          <w:color w:val="auto"/>
          <w:kern w:val="0"/>
          <w:sz w:val="32"/>
          <w:szCs w:val="32"/>
          <w:u w:val="none"/>
          <w:lang w:eastAsia="zh-CN"/>
        </w:rPr>
        <w:t>组织对“基层司法业务经费”、“普法宣传经费”、“社区矫正工作经费”等</w:t>
      </w:r>
      <w:r>
        <w:rPr>
          <w:rFonts w:hint="eastAsia" w:ascii="仿宋_GB2312" w:hAnsi="仿宋_GB2312" w:eastAsia="仿宋_GB2312" w:cs="仿宋_GB2312"/>
          <w:color w:val="auto"/>
          <w:kern w:val="0"/>
          <w:sz w:val="32"/>
          <w:szCs w:val="32"/>
          <w:u w:val="none"/>
          <w:lang w:val="en-US" w:eastAsia="zh-CN"/>
        </w:rPr>
        <w:t>8</w:t>
      </w:r>
      <w:r>
        <w:rPr>
          <w:rFonts w:hint="eastAsia" w:ascii="仿宋_GB2312" w:hAnsi="仿宋_GB2312" w:eastAsia="仿宋_GB2312" w:cs="仿宋_GB2312"/>
          <w:color w:val="auto"/>
          <w:kern w:val="0"/>
          <w:sz w:val="32"/>
          <w:szCs w:val="32"/>
          <w:u w:val="none"/>
          <w:lang w:eastAsia="zh-CN"/>
        </w:rPr>
        <w:t>个项目开展了部门评价，涉及一般公共预算支出</w:t>
      </w:r>
      <w:r>
        <w:rPr>
          <w:rFonts w:hint="eastAsia" w:ascii="仿宋_GB2312" w:hAnsi="仿宋_GB2312" w:eastAsia="仿宋_GB2312" w:cs="仿宋_GB2312"/>
          <w:color w:val="auto"/>
          <w:kern w:val="0"/>
          <w:sz w:val="32"/>
          <w:szCs w:val="32"/>
          <w:u w:val="none"/>
          <w:lang w:val="en-US" w:eastAsia="zh-CN"/>
        </w:rPr>
        <w:t>805.05</w:t>
      </w:r>
      <w:r>
        <w:rPr>
          <w:rFonts w:hint="eastAsia" w:ascii="仿宋_GB2312" w:hAnsi="仿宋_GB2312" w:eastAsia="仿宋_GB2312" w:cs="仿宋_GB2312"/>
          <w:color w:val="auto"/>
          <w:kern w:val="0"/>
          <w:sz w:val="32"/>
          <w:szCs w:val="32"/>
          <w:u w:val="none"/>
          <w:lang w:eastAsia="zh-CN"/>
        </w:rPr>
        <w:t>万元，政府性基金支出</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万元。从评价情况看，以上项目均按照预算安排支出，对</w:t>
      </w:r>
      <w:r>
        <w:rPr>
          <w:rFonts w:hint="default" w:ascii="仿宋_GB2312" w:hAnsi="仿宋_GB2312" w:eastAsia="仿宋_GB2312" w:cs="仿宋_GB2312"/>
          <w:color w:val="auto"/>
          <w:kern w:val="0"/>
          <w:sz w:val="32"/>
          <w:szCs w:val="32"/>
          <w:u w:val="none"/>
          <w:lang w:eastAsia="zh-CN"/>
        </w:rPr>
        <w:t>资金产出及其效益进行综合评价和判断，达到</w:t>
      </w:r>
      <w:r>
        <w:rPr>
          <w:rFonts w:hint="eastAsia" w:ascii="仿宋_GB2312" w:hAnsi="仿宋_GB2312" w:eastAsia="仿宋_GB2312" w:cs="仿宋_GB2312"/>
          <w:color w:val="auto"/>
          <w:kern w:val="0"/>
          <w:sz w:val="32"/>
          <w:szCs w:val="32"/>
          <w:u w:val="none"/>
          <w:lang w:eastAsia="zh-CN"/>
        </w:rPr>
        <w:t>了</w:t>
      </w:r>
      <w:r>
        <w:rPr>
          <w:rFonts w:hint="default" w:ascii="仿宋_GB2312" w:hAnsi="仿宋_GB2312" w:eastAsia="仿宋_GB2312" w:cs="仿宋_GB2312"/>
          <w:color w:val="auto"/>
          <w:kern w:val="0"/>
          <w:sz w:val="32"/>
          <w:szCs w:val="32"/>
          <w:u w:val="none"/>
          <w:lang w:eastAsia="zh-CN"/>
        </w:rPr>
        <w:t>科学使用资金，确保</w:t>
      </w:r>
      <w:r>
        <w:rPr>
          <w:rFonts w:hint="eastAsia" w:ascii="仿宋_GB2312" w:hAnsi="仿宋_GB2312" w:eastAsia="仿宋_GB2312" w:cs="仿宋_GB2312"/>
          <w:color w:val="auto"/>
          <w:kern w:val="0"/>
          <w:sz w:val="32"/>
          <w:szCs w:val="32"/>
          <w:u w:val="none"/>
          <w:lang w:eastAsia="zh-CN"/>
        </w:rPr>
        <w:t>了</w:t>
      </w:r>
      <w:r>
        <w:rPr>
          <w:rFonts w:hint="default" w:ascii="仿宋_GB2312" w:hAnsi="仿宋_GB2312" w:eastAsia="仿宋_GB2312" w:cs="仿宋_GB2312"/>
          <w:color w:val="auto"/>
          <w:kern w:val="0"/>
          <w:sz w:val="32"/>
          <w:szCs w:val="32"/>
          <w:u w:val="none"/>
          <w:lang w:eastAsia="zh-CN"/>
        </w:rPr>
        <w:t>资金使用效益</w:t>
      </w:r>
      <w:r>
        <w:rPr>
          <w:rFonts w:hint="eastAsia" w:ascii="仿宋_GB2312" w:hAnsi="仿宋_GB2312" w:eastAsia="仿宋_GB2312" w:cs="仿宋_GB2312"/>
          <w:color w:val="auto"/>
          <w:kern w:val="0"/>
          <w:sz w:val="32"/>
          <w:szCs w:val="32"/>
          <w:u w:val="none"/>
          <w:lang w:eastAsia="zh-CN"/>
        </w:rPr>
        <w:t>。</w:t>
      </w:r>
    </w:p>
    <w:bookmarkEnd w:id="1"/>
    <w:p>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ascii="楷体" w:hAnsi="楷体" w:eastAsia="楷体" w:cs="楷体"/>
          <w:b w:val="0"/>
          <w:bCs w:val="0"/>
          <w:color w:val="auto"/>
          <w:kern w:val="0"/>
          <w:sz w:val="32"/>
          <w:szCs w:val="32"/>
        </w:rPr>
      </w:pPr>
      <w:r>
        <w:rPr>
          <w:rFonts w:ascii="楷体" w:hAnsi="楷体" w:eastAsia="楷体" w:cs="楷体"/>
          <w:b w:val="0"/>
          <w:bCs w:val="0"/>
          <w:color w:val="auto"/>
          <w:kern w:val="0"/>
          <w:sz w:val="32"/>
          <w:szCs w:val="32"/>
        </w:rPr>
        <w:t>（二）部门决算中项目绩效自评结果。</w:t>
      </w:r>
    </w:p>
    <w:p>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color w:val="auto"/>
          <w:kern w:val="0"/>
          <w:sz w:val="32"/>
          <w:szCs w:val="32"/>
          <w:u w:val="none"/>
          <w:lang w:eastAsia="zh-CN"/>
        </w:rPr>
      </w:pPr>
      <w:bookmarkStart w:id="2" w:name="OLE_LINK2"/>
      <w:r>
        <w:rPr>
          <w:rFonts w:hint="eastAsia" w:ascii="仿宋_GB2312" w:hAnsi="仿宋_GB2312" w:eastAsia="仿宋_GB2312" w:cs="仿宋_GB2312"/>
          <w:color w:val="auto"/>
          <w:kern w:val="0"/>
          <w:sz w:val="32"/>
          <w:szCs w:val="32"/>
          <w:u w:val="none"/>
          <w:lang w:eastAsia="zh-CN"/>
        </w:rPr>
        <w:t>赤峰市司法局（本级）</w:t>
      </w:r>
      <w:r>
        <w:rPr>
          <w:rFonts w:hint="eastAsia" w:ascii="仿宋_GB2312" w:hAnsi="仿宋_GB2312" w:eastAsia="仿宋_GB2312" w:cs="仿宋_GB2312"/>
          <w:color w:val="auto"/>
          <w:kern w:val="0"/>
          <w:sz w:val="32"/>
          <w:szCs w:val="32"/>
          <w:u w:val="none"/>
          <w:lang w:val="en-US" w:eastAsia="zh-CN"/>
        </w:rPr>
        <w:t>2023</w:t>
      </w:r>
      <w:r>
        <w:rPr>
          <w:rFonts w:hint="eastAsia" w:ascii="仿宋_GB2312" w:hAnsi="仿宋_GB2312" w:eastAsia="仿宋_GB2312" w:cs="仿宋_GB2312"/>
          <w:color w:val="auto"/>
          <w:kern w:val="0"/>
          <w:sz w:val="32"/>
          <w:szCs w:val="32"/>
          <w:u w:val="none"/>
          <w:lang w:eastAsia="zh-CN"/>
        </w:rPr>
        <w:t>年度在决算中反映“法治建设经费”、“基层司法业务经费”、“普法宣传经费”、“社区矫正工作经费”等</w:t>
      </w:r>
      <w:r>
        <w:rPr>
          <w:rFonts w:hint="eastAsia" w:ascii="仿宋_GB2312" w:hAnsi="仿宋_GB2312" w:eastAsia="仿宋_GB2312" w:cs="仿宋_GB2312"/>
          <w:color w:val="auto"/>
          <w:kern w:val="0"/>
          <w:sz w:val="32"/>
          <w:szCs w:val="32"/>
          <w:u w:val="none"/>
          <w:lang w:val="en-US" w:eastAsia="zh-CN"/>
        </w:rPr>
        <w:t>8</w:t>
      </w:r>
      <w:r>
        <w:rPr>
          <w:rFonts w:hint="eastAsia" w:ascii="仿宋_GB2312" w:hAnsi="仿宋_GB2312" w:eastAsia="仿宋_GB2312" w:cs="仿宋_GB2312"/>
          <w:color w:val="auto"/>
          <w:kern w:val="0"/>
          <w:sz w:val="32"/>
          <w:szCs w:val="32"/>
          <w:u w:val="none"/>
          <w:lang w:eastAsia="zh-CN"/>
        </w:rPr>
        <w:t>个一般公共预算项目，以及</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个政府性基金项目，共</w:t>
      </w:r>
      <w:r>
        <w:rPr>
          <w:rFonts w:hint="eastAsia" w:ascii="仿宋_GB2312" w:hAnsi="仿宋_GB2312" w:eastAsia="仿宋_GB2312" w:cs="仿宋_GB2312"/>
          <w:color w:val="auto"/>
          <w:kern w:val="0"/>
          <w:sz w:val="32"/>
          <w:szCs w:val="32"/>
          <w:u w:val="none"/>
          <w:lang w:val="en-US" w:eastAsia="zh-CN"/>
        </w:rPr>
        <w:t>8</w:t>
      </w:r>
      <w:r>
        <w:rPr>
          <w:rFonts w:hint="eastAsia" w:ascii="仿宋_GB2312" w:hAnsi="仿宋_GB2312" w:eastAsia="仿宋_GB2312" w:cs="仿宋_GB2312"/>
          <w:color w:val="auto"/>
          <w:kern w:val="0"/>
          <w:sz w:val="32"/>
          <w:szCs w:val="32"/>
          <w:u w:val="none"/>
          <w:lang w:eastAsia="zh-CN"/>
        </w:rPr>
        <w:t>个项目的绩效自评结果。所有项目自评表见附件。</w:t>
      </w:r>
    </w:p>
    <w:bookmarkEnd w:id="2"/>
    <w:p>
      <w:pPr>
        <w:keepNext w:val="0"/>
        <w:keepLines w:val="0"/>
        <w:pageBreakBefore w:val="0"/>
        <w:numPr>
          <w:ilvl w:val="0"/>
          <w:numId w:val="15"/>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bookmarkStart w:id="3" w:name="OLE_LINK3"/>
      <w:r>
        <w:rPr>
          <w:rFonts w:hint="eastAsia" w:ascii="仿宋_GB2312" w:hAnsi="仿宋_GB2312" w:eastAsia="仿宋_GB2312" w:cs="仿宋_GB2312"/>
          <w:color w:val="auto"/>
          <w:kern w:val="0"/>
          <w:sz w:val="32"/>
          <w:szCs w:val="32"/>
          <w:u w:val="none"/>
          <w:lang w:val="en-US" w:eastAsia="en-US" w:bidi="ar-SA"/>
        </w:rPr>
        <w:t>法治建设经费项目自评综述：根据年初设定的绩效目标，项目自评得分</w:t>
      </w:r>
      <w:r>
        <w:rPr>
          <w:rFonts w:hint="default" w:ascii="仿宋_GB2312" w:hAnsi="仿宋_GB2312" w:eastAsia="仿宋_GB2312" w:cs="仿宋_GB2312"/>
          <w:color w:val="auto"/>
          <w:kern w:val="0"/>
          <w:sz w:val="32"/>
          <w:szCs w:val="32"/>
          <w:u w:val="none"/>
          <w:lang w:val="en" w:eastAsia="en-US" w:bidi="ar-SA"/>
        </w:rPr>
        <w:t>95.42</w:t>
      </w:r>
      <w:r>
        <w:rPr>
          <w:rFonts w:hint="eastAsia" w:ascii="仿宋_GB2312" w:hAnsi="仿宋_GB2312" w:eastAsia="仿宋_GB2312" w:cs="仿宋_GB2312"/>
          <w:color w:val="auto"/>
          <w:kern w:val="0"/>
          <w:sz w:val="32"/>
          <w:szCs w:val="32"/>
          <w:u w:val="none"/>
          <w:lang w:val="en-US" w:eastAsia="en-US" w:bidi="ar-SA"/>
        </w:rPr>
        <w:t>分。全年预算数为</w:t>
      </w:r>
      <w:r>
        <w:rPr>
          <w:rFonts w:hint="default" w:ascii="仿宋_GB2312" w:hAnsi="仿宋_GB2312" w:eastAsia="仿宋_GB2312" w:cs="仿宋_GB2312"/>
          <w:color w:val="auto"/>
          <w:kern w:val="0"/>
          <w:sz w:val="32"/>
          <w:szCs w:val="32"/>
          <w:u w:val="none"/>
          <w:lang w:val="en" w:eastAsia="en-US" w:bidi="ar-SA"/>
        </w:rPr>
        <w:t>14.22</w:t>
      </w:r>
      <w:r>
        <w:rPr>
          <w:rFonts w:hint="eastAsia" w:ascii="仿宋_GB2312" w:hAnsi="仿宋_GB2312" w:eastAsia="仿宋_GB2312" w:cs="仿宋_GB2312"/>
          <w:color w:val="auto"/>
          <w:kern w:val="0"/>
          <w:sz w:val="32"/>
          <w:szCs w:val="32"/>
          <w:u w:val="none"/>
          <w:lang w:val="en-US" w:eastAsia="en-US" w:bidi="ar-SA"/>
        </w:rPr>
        <w:t>万元，执行数为</w:t>
      </w:r>
      <w:r>
        <w:rPr>
          <w:rFonts w:hint="default" w:ascii="仿宋_GB2312" w:hAnsi="仿宋_GB2312" w:eastAsia="仿宋_GB2312" w:cs="仿宋_GB2312"/>
          <w:color w:val="auto"/>
          <w:kern w:val="0"/>
          <w:sz w:val="32"/>
          <w:szCs w:val="32"/>
          <w:u w:val="none"/>
          <w:lang w:val="en" w:eastAsia="en-US" w:bidi="ar-SA"/>
        </w:rPr>
        <w:t>7.7</w:t>
      </w:r>
      <w:r>
        <w:rPr>
          <w:rFonts w:hint="eastAsia" w:ascii="仿宋_GB2312" w:hAnsi="仿宋_GB2312" w:eastAsia="仿宋_GB2312" w:cs="仿宋_GB2312"/>
          <w:color w:val="auto"/>
          <w:kern w:val="0"/>
          <w:sz w:val="32"/>
          <w:szCs w:val="32"/>
          <w:u w:val="none"/>
          <w:lang w:val="en-US" w:eastAsia="en-US" w:bidi="ar-SA"/>
        </w:rPr>
        <w:t>万元，完成预算的</w:t>
      </w:r>
      <w:r>
        <w:rPr>
          <w:rFonts w:hint="default" w:ascii="仿宋_GB2312" w:hAnsi="仿宋_GB2312" w:eastAsia="仿宋_GB2312" w:cs="仿宋_GB2312"/>
          <w:color w:val="auto"/>
          <w:kern w:val="0"/>
          <w:sz w:val="32"/>
          <w:szCs w:val="32"/>
          <w:u w:val="none"/>
          <w:lang w:val="en" w:eastAsia="en-US" w:bidi="ar-SA"/>
        </w:rPr>
        <w:t>54.15</w:t>
      </w:r>
      <w:r>
        <w:rPr>
          <w:rFonts w:hint="eastAsia" w:ascii="仿宋_GB2312" w:hAnsi="仿宋_GB2312" w:eastAsia="仿宋_GB2312" w:cs="仿宋_GB2312"/>
          <w:color w:val="auto"/>
          <w:kern w:val="0"/>
          <w:sz w:val="32"/>
          <w:szCs w:val="32"/>
          <w:u w:val="none"/>
          <w:lang w:val="en-US" w:eastAsia="en-US" w:bidi="ar-SA"/>
        </w:rPr>
        <w:t>%。项目绩效目标完成情况：完成全面依法治市、法治政府建设、立法、行政执法监督工作，推进法治建设水平；完成行政复议体制改革，推动行政复议与应诉办案能力。发现的主要问题及原因：年度内</w:t>
      </w:r>
      <w:r>
        <w:rPr>
          <w:rFonts w:hint="eastAsia" w:ascii="仿宋_GB2312" w:hAnsi="仿宋_GB2312" w:eastAsia="仿宋_GB2312" w:cs="仿宋_GB2312"/>
          <w:color w:val="auto"/>
          <w:kern w:val="0"/>
          <w:sz w:val="32"/>
          <w:szCs w:val="32"/>
          <w:u w:val="none"/>
          <w:lang w:val="en-US" w:eastAsia="zh-CN" w:bidi="ar-SA"/>
        </w:rPr>
        <w:t>法治建设工作培训及会议开展较少，行政复议</w:t>
      </w:r>
      <w:r>
        <w:rPr>
          <w:rFonts w:hint="eastAsia" w:ascii="仿宋_GB2312" w:hAnsi="仿宋_GB2312" w:eastAsia="仿宋_GB2312" w:cs="仿宋_GB2312"/>
          <w:color w:val="auto"/>
          <w:kern w:val="0"/>
          <w:sz w:val="32"/>
          <w:szCs w:val="32"/>
          <w:u w:val="none"/>
          <w:lang w:val="en-US" w:eastAsia="en-US" w:bidi="ar-SA"/>
        </w:rPr>
        <w:t>案件</w:t>
      </w:r>
      <w:r>
        <w:rPr>
          <w:rFonts w:hint="eastAsia" w:ascii="仿宋_GB2312" w:hAnsi="仿宋_GB2312" w:eastAsia="仿宋_GB2312" w:cs="仿宋_GB2312"/>
          <w:color w:val="auto"/>
          <w:kern w:val="0"/>
          <w:sz w:val="32"/>
          <w:szCs w:val="32"/>
          <w:u w:val="none"/>
          <w:lang w:val="en-US" w:eastAsia="zh-CN" w:bidi="ar-SA"/>
        </w:rPr>
        <w:t>有所</w:t>
      </w:r>
      <w:r>
        <w:rPr>
          <w:rFonts w:hint="eastAsia" w:ascii="仿宋_GB2312" w:hAnsi="仿宋_GB2312" w:eastAsia="仿宋_GB2312" w:cs="仿宋_GB2312"/>
          <w:color w:val="auto"/>
          <w:kern w:val="0"/>
          <w:sz w:val="32"/>
          <w:szCs w:val="32"/>
          <w:u w:val="none"/>
          <w:lang w:val="en-US" w:eastAsia="en-US" w:bidi="ar-SA"/>
        </w:rPr>
        <w:t>减少</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加强法治建设工作业务培训及行政复议办案能力，持续提高法治建设水平</w:t>
      </w:r>
      <w:r>
        <w:rPr>
          <w:rFonts w:hint="eastAsia" w:ascii="仿宋_GB2312" w:hAnsi="仿宋_GB2312" w:eastAsia="仿宋_GB2312" w:cs="仿宋_GB2312"/>
          <w:color w:val="auto"/>
          <w:kern w:val="0"/>
          <w:sz w:val="32"/>
          <w:szCs w:val="32"/>
          <w:u w:val="none"/>
          <w:lang w:val="en-US" w:eastAsia="en-US" w:bidi="ar-SA"/>
        </w:rPr>
        <w:t>。</w:t>
      </w:r>
    </w:p>
    <w:p>
      <w:pPr>
        <w:keepNext w:val="0"/>
        <w:keepLines w:val="0"/>
        <w:pageBreakBefore w:val="0"/>
        <w:numPr>
          <w:ilvl w:val="0"/>
          <w:numId w:val="15"/>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普法宣传经费项目自评综述：根据年初设定的绩效目标，项目自评得分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93.59</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3.66</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3.66</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100</w:t>
      </w:r>
      <w:r>
        <w:rPr>
          <w:rFonts w:hint="eastAsia" w:ascii="仿宋_GB2312" w:hAnsi="仿宋_GB2312" w:eastAsia="仿宋_GB2312" w:cs="仿宋_GB2312"/>
          <w:color w:val="auto"/>
          <w:kern w:val="0"/>
          <w:sz w:val="32"/>
          <w:szCs w:val="32"/>
          <w:u w:val="none"/>
          <w:lang w:val="en-US" w:eastAsia="en-US" w:bidi="ar-SA"/>
        </w:rPr>
        <w:t>%。项目绩效目标完成情况：完成了年度普法宣传工作任务，完成了“八五”普法</w:t>
      </w:r>
      <w:r>
        <w:rPr>
          <w:rFonts w:hint="eastAsia" w:ascii="仿宋_GB2312" w:hAnsi="仿宋_GB2312" w:eastAsia="仿宋_GB2312" w:cs="仿宋_GB2312"/>
          <w:color w:val="auto"/>
          <w:kern w:val="0"/>
          <w:sz w:val="32"/>
          <w:szCs w:val="32"/>
          <w:u w:val="none"/>
          <w:lang w:val="en-US" w:eastAsia="zh-CN" w:bidi="ar-SA"/>
        </w:rPr>
        <w:t>宣传、督导等</w:t>
      </w:r>
      <w:r>
        <w:rPr>
          <w:rFonts w:hint="eastAsia" w:ascii="仿宋_GB2312" w:hAnsi="仿宋_GB2312" w:eastAsia="仿宋_GB2312" w:cs="仿宋_GB2312"/>
          <w:color w:val="auto"/>
          <w:kern w:val="0"/>
          <w:sz w:val="32"/>
          <w:szCs w:val="32"/>
          <w:u w:val="none"/>
          <w:lang w:val="en-US" w:eastAsia="en-US" w:bidi="ar-SA"/>
        </w:rPr>
        <w:t>各项工作任务，有效提高了普法依法治理能力。发现的主要问题及原因：部分</w:t>
      </w:r>
      <w:r>
        <w:rPr>
          <w:rFonts w:hint="eastAsia" w:ascii="仿宋_GB2312" w:hAnsi="仿宋_GB2312" w:eastAsia="仿宋_GB2312" w:cs="仿宋_GB2312"/>
          <w:color w:val="auto"/>
          <w:kern w:val="0"/>
          <w:sz w:val="32"/>
          <w:szCs w:val="32"/>
          <w:u w:val="none"/>
          <w:lang w:val="en-US" w:eastAsia="zh-CN" w:bidi="ar-SA"/>
        </w:rPr>
        <w:t>宣传活动、</w:t>
      </w:r>
      <w:r>
        <w:rPr>
          <w:rFonts w:hint="eastAsia" w:ascii="仿宋_GB2312" w:hAnsi="仿宋_GB2312" w:eastAsia="仿宋_GB2312" w:cs="仿宋_GB2312"/>
          <w:color w:val="auto"/>
          <w:kern w:val="0"/>
          <w:sz w:val="32"/>
          <w:szCs w:val="32"/>
          <w:u w:val="none"/>
          <w:lang w:val="en-US" w:eastAsia="en-US" w:bidi="ar-SA"/>
        </w:rPr>
        <w:t>检查督导</w:t>
      </w:r>
      <w:r>
        <w:rPr>
          <w:rFonts w:hint="eastAsia" w:ascii="仿宋_GB2312" w:hAnsi="仿宋_GB2312" w:eastAsia="仿宋_GB2312" w:cs="仿宋_GB2312"/>
          <w:color w:val="auto"/>
          <w:kern w:val="0"/>
          <w:sz w:val="32"/>
          <w:szCs w:val="32"/>
          <w:u w:val="none"/>
          <w:lang w:val="en-US" w:eastAsia="zh-CN" w:bidi="ar-SA"/>
        </w:rPr>
        <w:t>等</w:t>
      </w:r>
      <w:r>
        <w:rPr>
          <w:rFonts w:hint="eastAsia" w:ascii="仿宋_GB2312" w:hAnsi="仿宋_GB2312" w:eastAsia="仿宋_GB2312" w:cs="仿宋_GB2312"/>
          <w:color w:val="auto"/>
          <w:kern w:val="0"/>
          <w:sz w:val="32"/>
          <w:szCs w:val="32"/>
          <w:u w:val="none"/>
          <w:lang w:val="en-US" w:eastAsia="en-US" w:bidi="ar-SA"/>
        </w:rPr>
        <w:t>“八五”普法工作未能开展。下一步改进措施：</w:t>
      </w:r>
      <w:r>
        <w:rPr>
          <w:rFonts w:hint="eastAsia" w:ascii="仿宋_GB2312" w:hAnsi="仿宋_GB2312" w:eastAsia="仿宋_GB2312" w:cs="仿宋_GB2312"/>
          <w:color w:val="auto"/>
          <w:kern w:val="0"/>
          <w:sz w:val="32"/>
          <w:szCs w:val="32"/>
          <w:u w:val="none"/>
          <w:lang w:val="en-US" w:eastAsia="zh-CN" w:bidi="ar-SA"/>
        </w:rPr>
        <w:t>加快“八五”普法各项工作的逐步推进</w:t>
      </w:r>
      <w:r>
        <w:rPr>
          <w:rFonts w:hint="eastAsia" w:ascii="仿宋_GB2312" w:hAnsi="仿宋_GB2312" w:eastAsia="仿宋_GB2312" w:cs="仿宋_GB2312"/>
          <w:color w:val="auto"/>
          <w:kern w:val="0"/>
          <w:sz w:val="32"/>
          <w:szCs w:val="32"/>
          <w:u w:val="none"/>
          <w:lang w:val="en-US" w:eastAsia="en-US" w:bidi="ar-SA"/>
        </w:rPr>
        <w:t>。</w:t>
      </w:r>
    </w:p>
    <w:p>
      <w:pPr>
        <w:keepNext w:val="0"/>
        <w:keepLines w:val="0"/>
        <w:pageBreakBefore w:val="0"/>
        <w:numPr>
          <w:ilvl w:val="0"/>
          <w:numId w:val="15"/>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基层司法业务经费项目自评综述：根据年初设定的绩效目标，项目自评得分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89.04</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13.55</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8.33</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61.48</w:t>
      </w:r>
      <w:r>
        <w:rPr>
          <w:rFonts w:hint="eastAsia" w:ascii="仿宋_GB2312" w:hAnsi="仿宋_GB2312" w:eastAsia="仿宋_GB2312" w:cs="仿宋_GB2312"/>
          <w:color w:val="auto"/>
          <w:kern w:val="0"/>
          <w:sz w:val="32"/>
          <w:szCs w:val="32"/>
          <w:u w:val="none"/>
          <w:lang w:val="en-US" w:eastAsia="en-US" w:bidi="ar-SA"/>
        </w:rPr>
        <w:t>%。项目绩效目标完成情况：完成基层司法业务培训，提升业务能力；完成人民调解员调解案件补贴发放，保障矛盾纠纷调解工作</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完成基层司法业务工作出差，提升基层司法业务工作水平</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发现的主要问题及原因：年度内只支付了保险合同纠纷调解案件费</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加强基层司法业务培训，加强调解案件办案费保障能力</w:t>
      </w:r>
      <w:r>
        <w:rPr>
          <w:rFonts w:hint="eastAsia" w:ascii="仿宋_GB2312" w:hAnsi="仿宋_GB2312" w:eastAsia="仿宋_GB2312" w:cs="仿宋_GB2312"/>
          <w:color w:val="auto"/>
          <w:kern w:val="0"/>
          <w:sz w:val="32"/>
          <w:szCs w:val="32"/>
          <w:u w:val="none"/>
          <w:lang w:val="en-US" w:eastAsia="en-US" w:bidi="ar-SA"/>
        </w:rPr>
        <w:t>。</w:t>
      </w:r>
    </w:p>
    <w:p>
      <w:pPr>
        <w:keepNext w:val="0"/>
        <w:keepLines w:val="0"/>
        <w:pageBreakBefore w:val="0"/>
        <w:numPr>
          <w:ilvl w:val="0"/>
          <w:numId w:val="15"/>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信息化建设经费项目自评综述：根据年初设定的绩效目标，项目自评得分93.64分。全年预算数为</w:t>
      </w:r>
      <w:r>
        <w:rPr>
          <w:rFonts w:hint="eastAsia" w:ascii="仿宋_GB2312" w:hAnsi="仿宋_GB2312" w:eastAsia="仿宋_GB2312" w:cs="仿宋_GB2312"/>
          <w:color w:val="auto"/>
          <w:kern w:val="0"/>
          <w:sz w:val="32"/>
          <w:szCs w:val="32"/>
          <w:u w:val="none"/>
          <w:lang w:val="en-US" w:eastAsia="zh-CN" w:bidi="ar-SA"/>
        </w:rPr>
        <w:t>52</w:t>
      </w:r>
      <w:r>
        <w:rPr>
          <w:rFonts w:hint="eastAsia" w:ascii="仿宋_GB2312" w:hAnsi="仿宋_GB2312" w:eastAsia="仿宋_GB2312" w:cs="仿宋_GB2312"/>
          <w:color w:val="auto"/>
          <w:kern w:val="0"/>
          <w:sz w:val="32"/>
          <w:szCs w:val="32"/>
          <w:u w:val="none"/>
          <w:lang w:val="en-US" w:eastAsia="en-US" w:bidi="ar-SA"/>
        </w:rPr>
        <w:t>万元，执行数为 42.71万元，完成预算的82.13%。项目绩效目标完成情况：完成了本年度司法行政信息化系统软件运维服务，政务内网建设及智慧司法平台软件开发，有效提高了司法行政信息化水平。发现的主要问题及原因：</w:t>
      </w:r>
      <w:r>
        <w:rPr>
          <w:rFonts w:hint="eastAsia" w:ascii="仿宋_GB2312" w:hAnsi="仿宋_GB2312" w:eastAsia="仿宋_GB2312" w:cs="仿宋_GB2312"/>
          <w:color w:val="auto"/>
          <w:kern w:val="0"/>
          <w:sz w:val="32"/>
          <w:szCs w:val="32"/>
          <w:u w:val="none"/>
          <w:lang w:val="en-US" w:eastAsia="zh-CN" w:bidi="ar-SA"/>
        </w:rPr>
        <w:t>部分信息化系统软件由于合同期原因，服务费未能在年度内支付完成</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加强信息化建设保障，提高数字司法、智慧司法服务能力</w:t>
      </w:r>
      <w:r>
        <w:rPr>
          <w:rFonts w:hint="eastAsia" w:ascii="仿宋_GB2312" w:hAnsi="仿宋_GB2312" w:eastAsia="仿宋_GB2312" w:cs="仿宋_GB2312"/>
          <w:color w:val="auto"/>
          <w:kern w:val="0"/>
          <w:sz w:val="32"/>
          <w:szCs w:val="32"/>
          <w:u w:val="none"/>
          <w:lang w:val="en-US" w:eastAsia="en-US" w:bidi="ar-SA"/>
        </w:rPr>
        <w:t>。</w:t>
      </w:r>
    </w:p>
    <w:p>
      <w:pPr>
        <w:keepNext w:val="0"/>
        <w:keepLines w:val="0"/>
        <w:pageBreakBefore w:val="0"/>
        <w:numPr>
          <w:ilvl w:val="0"/>
          <w:numId w:val="15"/>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狱所迁建项目工作经费项目自评综述：根据年初设定的绩效目标，项目自评得分90.29 分。全年预算数为13.55 万元，执行数为11.24 万元，完成预算的82.95 %。项目绩效目标完成情况：完成了狱所迁建</w:t>
      </w:r>
      <w:r>
        <w:rPr>
          <w:rFonts w:hint="eastAsia" w:ascii="仿宋_GB2312" w:hAnsi="仿宋_GB2312" w:eastAsia="仿宋_GB2312" w:cs="仿宋_GB2312"/>
          <w:color w:val="auto"/>
          <w:kern w:val="0"/>
          <w:sz w:val="32"/>
          <w:szCs w:val="32"/>
          <w:u w:val="none"/>
          <w:lang w:val="en-US" w:eastAsia="zh-CN" w:bidi="ar-SA"/>
        </w:rPr>
        <w:t>建设方案、办公保障等</w:t>
      </w:r>
      <w:r>
        <w:rPr>
          <w:rFonts w:hint="eastAsia" w:ascii="仿宋_GB2312" w:hAnsi="仿宋_GB2312" w:eastAsia="仿宋_GB2312" w:cs="仿宋_GB2312"/>
          <w:color w:val="auto"/>
          <w:kern w:val="0"/>
          <w:sz w:val="32"/>
          <w:szCs w:val="32"/>
          <w:u w:val="none"/>
          <w:lang w:val="en-US" w:eastAsia="en-US" w:bidi="ar-SA"/>
        </w:rPr>
        <w:t>各项工作任务，推进了赤峰监狱和市强制隔离戒毒所迁建项目进度。发现的主要问题及原因：</w:t>
      </w:r>
      <w:r>
        <w:rPr>
          <w:rFonts w:hint="eastAsia" w:ascii="仿宋_GB2312" w:hAnsi="仿宋_GB2312" w:eastAsia="仿宋_GB2312" w:cs="仿宋_GB2312"/>
          <w:color w:val="auto"/>
          <w:kern w:val="0"/>
          <w:sz w:val="32"/>
          <w:szCs w:val="32"/>
          <w:u w:val="none"/>
          <w:lang w:val="en-US" w:eastAsia="zh-CN" w:bidi="ar-SA"/>
        </w:rPr>
        <w:t>由于工程延期，部分与上级汇报联络工作未能及时开展</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加强狱所迁建工作保障，加快推进狱所迁建项目建设进度</w:t>
      </w:r>
      <w:r>
        <w:rPr>
          <w:rFonts w:hint="eastAsia" w:ascii="仿宋_GB2312" w:hAnsi="仿宋_GB2312" w:eastAsia="仿宋_GB2312" w:cs="仿宋_GB2312"/>
          <w:color w:val="auto"/>
          <w:kern w:val="0"/>
          <w:sz w:val="32"/>
          <w:szCs w:val="32"/>
          <w:u w:val="none"/>
          <w:lang w:val="en-US" w:eastAsia="en-US" w:bidi="ar-SA"/>
        </w:rPr>
        <w:t>。</w:t>
      </w:r>
    </w:p>
    <w:p>
      <w:pPr>
        <w:keepNext w:val="0"/>
        <w:keepLines w:val="0"/>
        <w:pageBreakBefore w:val="0"/>
        <w:numPr>
          <w:ilvl w:val="0"/>
          <w:numId w:val="15"/>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社区矫正工作经费项目自评综述：根据年初设定的绩效目标，项目自评得分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62.5</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20</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0</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0</w:t>
      </w:r>
      <w:r>
        <w:rPr>
          <w:rFonts w:hint="eastAsia" w:ascii="仿宋_GB2312" w:hAnsi="仿宋_GB2312" w:eastAsia="仿宋_GB2312" w:cs="仿宋_GB2312"/>
          <w:color w:val="auto"/>
          <w:kern w:val="0"/>
          <w:sz w:val="32"/>
          <w:szCs w:val="32"/>
          <w:u w:val="none"/>
          <w:lang w:val="en-US" w:eastAsia="en-US" w:bidi="ar-SA"/>
        </w:rPr>
        <w:t>%。项目绩效目标完成情况：完成《社区矫正法》和《社区矫正实施办法》宣传，提高社区矫正管理水平；完成全市社区矫正人员培训，提升工作人员业务能力。发现的主要问题及原因：由于</w:t>
      </w:r>
      <w:r>
        <w:rPr>
          <w:rFonts w:hint="eastAsia" w:ascii="仿宋_GB2312" w:hAnsi="仿宋_GB2312" w:eastAsia="仿宋_GB2312" w:cs="仿宋_GB2312"/>
          <w:color w:val="auto"/>
          <w:kern w:val="0"/>
          <w:sz w:val="32"/>
          <w:szCs w:val="32"/>
          <w:u w:val="none"/>
          <w:lang w:val="en-US" w:eastAsia="zh-CN" w:bidi="ar-SA"/>
        </w:rPr>
        <w:t>上年度结转了该项目指标</w:t>
      </w:r>
      <w:r>
        <w:rPr>
          <w:rFonts w:hint="eastAsia" w:ascii="仿宋_GB2312" w:hAnsi="仿宋_GB2312" w:eastAsia="仿宋_GB2312" w:cs="仿宋_GB2312"/>
          <w:color w:val="auto"/>
          <w:kern w:val="0"/>
          <w:sz w:val="32"/>
          <w:szCs w:val="32"/>
          <w:u w:val="none"/>
          <w:lang w:val="en-US" w:eastAsia="en-US" w:bidi="ar-SA"/>
        </w:rPr>
        <w:t>，</w:t>
      </w:r>
      <w:r>
        <w:rPr>
          <w:rFonts w:hint="eastAsia" w:ascii="仿宋_GB2312" w:hAnsi="仿宋_GB2312" w:eastAsia="仿宋_GB2312" w:cs="仿宋_GB2312"/>
          <w:color w:val="auto"/>
          <w:kern w:val="0"/>
          <w:sz w:val="32"/>
          <w:szCs w:val="32"/>
          <w:u w:val="none"/>
          <w:lang w:val="en-US" w:eastAsia="zh-CN" w:bidi="ar-SA"/>
        </w:rPr>
        <w:t>本年度指标尚未使用。</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进一步合理安排预算，加强</w:t>
      </w:r>
      <w:r>
        <w:rPr>
          <w:rFonts w:hint="eastAsia" w:ascii="仿宋_GB2312" w:hAnsi="仿宋_GB2312" w:eastAsia="仿宋_GB2312" w:cs="仿宋_GB2312"/>
          <w:color w:val="auto"/>
          <w:kern w:val="0"/>
          <w:sz w:val="32"/>
          <w:szCs w:val="32"/>
          <w:u w:val="none"/>
          <w:lang w:val="en-US" w:eastAsia="en-US" w:bidi="ar-SA"/>
        </w:rPr>
        <w:t>全市社区矫正人员培训，提升工作人员业务能力。</w:t>
      </w:r>
    </w:p>
    <w:p>
      <w:pPr>
        <w:keepNext w:val="0"/>
        <w:keepLines w:val="0"/>
        <w:pageBreakBefore w:val="0"/>
        <w:numPr>
          <w:ilvl w:val="0"/>
          <w:numId w:val="15"/>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公共法律服务工作经费项目自评综述：根据年初设定的绩效目标，项目自评得分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75.13</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22</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9.89</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44.95</w:t>
      </w:r>
      <w:r>
        <w:rPr>
          <w:rFonts w:hint="eastAsia" w:ascii="仿宋_GB2312" w:hAnsi="仿宋_GB2312" w:eastAsia="仿宋_GB2312" w:cs="仿宋_GB2312"/>
          <w:color w:val="auto"/>
          <w:kern w:val="0"/>
          <w:sz w:val="32"/>
          <w:szCs w:val="32"/>
          <w:u w:val="none"/>
          <w:lang w:val="en-US" w:eastAsia="en-US" w:bidi="ar-SA"/>
        </w:rPr>
        <w:t>%。项目绩效目标完成情况：完成法律援助值班律师服务费发放、法律援助案件评查工作，完成公共法律服务工作出差，提高公共法律服务水平</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发现的主要问题及原因：</w:t>
      </w:r>
      <w:r>
        <w:rPr>
          <w:rFonts w:hint="eastAsia" w:ascii="仿宋_GB2312" w:hAnsi="仿宋_GB2312" w:eastAsia="仿宋_GB2312" w:cs="仿宋_GB2312"/>
          <w:color w:val="auto"/>
          <w:kern w:val="0"/>
          <w:sz w:val="32"/>
          <w:szCs w:val="32"/>
          <w:u w:val="none"/>
          <w:lang w:val="en-US" w:eastAsia="zh-CN" w:bidi="ar-SA"/>
        </w:rPr>
        <w:t>由于本年度聘用法律顾问合同尚未到期，故本年度</w:t>
      </w:r>
      <w:r>
        <w:rPr>
          <w:rFonts w:hint="eastAsia" w:ascii="仿宋_GB2312" w:hAnsi="仿宋_GB2312" w:eastAsia="仿宋_GB2312" w:cs="仿宋_GB2312"/>
          <w:color w:val="auto"/>
          <w:kern w:val="0"/>
          <w:sz w:val="32"/>
          <w:szCs w:val="32"/>
          <w:u w:val="none"/>
          <w:lang w:val="en-US" w:eastAsia="en-US" w:bidi="ar-SA"/>
        </w:rPr>
        <w:t>未使用公法经费支付法律顾问费</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进一步合理安排预算，强化法律援助评查工作</w:t>
      </w:r>
      <w:r>
        <w:rPr>
          <w:rFonts w:hint="eastAsia" w:ascii="仿宋_GB2312" w:hAnsi="仿宋_GB2312" w:eastAsia="仿宋_GB2312" w:cs="仿宋_GB2312"/>
          <w:color w:val="auto"/>
          <w:kern w:val="0"/>
          <w:sz w:val="32"/>
          <w:szCs w:val="32"/>
          <w:u w:val="none"/>
          <w:lang w:val="en-US" w:eastAsia="en-US" w:bidi="ar-SA"/>
        </w:rPr>
        <w:t>，提高公共法律服务水平。</w:t>
      </w:r>
    </w:p>
    <w:p>
      <w:pPr>
        <w:keepNext w:val="0"/>
        <w:keepLines w:val="0"/>
        <w:pageBreakBefore w:val="0"/>
        <w:numPr>
          <w:ilvl w:val="0"/>
          <w:numId w:val="15"/>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购买公共法律服务项目服务费项目自评综述：根据年初设定的绩效目标，项目自评得分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82.5</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101.45</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25.36</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25</w:t>
      </w:r>
      <w:r>
        <w:rPr>
          <w:rFonts w:hint="eastAsia" w:ascii="仿宋_GB2312" w:hAnsi="仿宋_GB2312" w:eastAsia="仿宋_GB2312" w:cs="仿宋_GB2312"/>
          <w:color w:val="auto"/>
          <w:kern w:val="0"/>
          <w:sz w:val="32"/>
          <w:szCs w:val="32"/>
          <w:u w:val="none"/>
          <w:lang w:val="en-US" w:eastAsia="en-US" w:bidi="ar-SA"/>
        </w:rPr>
        <w:t>%。项目绩效目标完成情况：完成了年度公共法律服务工作任务，有效提高了公共法律服务水平，为广大人民群众提供了集中统一、及时有效、内容多元的法律服务</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发现的主要问题及原因：</w:t>
      </w:r>
      <w:r>
        <w:rPr>
          <w:rFonts w:hint="eastAsia" w:ascii="仿宋_GB2312" w:hAnsi="仿宋_GB2312" w:eastAsia="仿宋_GB2312" w:cs="仿宋_GB2312"/>
          <w:color w:val="auto"/>
          <w:kern w:val="0"/>
          <w:sz w:val="32"/>
          <w:szCs w:val="32"/>
          <w:u w:val="none"/>
          <w:lang w:val="en-US" w:eastAsia="zh-CN" w:bidi="ar-SA"/>
        </w:rPr>
        <w:t>由于本年度聘用的公共法律服务人员合同尚未到期，故本年度聘用公共法律服务人员工作时间及计件收费案件数量未达到年初设定的绩效目标。</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进一步合理安排预算，提升案件办理效能</w:t>
      </w:r>
      <w:r>
        <w:rPr>
          <w:rFonts w:hint="eastAsia" w:ascii="仿宋_GB2312" w:hAnsi="仿宋_GB2312" w:eastAsia="仿宋_GB2312" w:cs="仿宋_GB2312"/>
          <w:color w:val="auto"/>
          <w:kern w:val="0"/>
          <w:sz w:val="32"/>
          <w:szCs w:val="32"/>
          <w:u w:val="none"/>
          <w:lang w:val="en-US" w:eastAsia="en-US" w:bidi="ar-SA"/>
        </w:rPr>
        <w:t>，</w:t>
      </w:r>
      <w:r>
        <w:rPr>
          <w:rFonts w:hint="eastAsia" w:ascii="仿宋_GB2312" w:hAnsi="仿宋_GB2312" w:eastAsia="仿宋_GB2312" w:cs="仿宋_GB2312"/>
          <w:color w:val="auto"/>
          <w:kern w:val="0"/>
          <w:sz w:val="32"/>
          <w:szCs w:val="32"/>
          <w:u w:val="none"/>
          <w:lang w:val="en-US" w:eastAsia="zh-CN" w:bidi="ar-SA"/>
        </w:rPr>
        <w:t>提供更多元化的公共法律服务</w:t>
      </w:r>
      <w:r>
        <w:rPr>
          <w:rFonts w:hint="eastAsia" w:ascii="仿宋_GB2312" w:hAnsi="仿宋_GB2312" w:eastAsia="仿宋_GB2312" w:cs="仿宋_GB2312"/>
          <w:color w:val="auto"/>
          <w:kern w:val="0"/>
          <w:sz w:val="32"/>
          <w:szCs w:val="32"/>
          <w:u w:val="none"/>
          <w:lang w:val="en-US" w:eastAsia="en-US" w:bidi="ar-SA"/>
        </w:rPr>
        <w:t>。</w:t>
      </w:r>
    </w:p>
    <w:bookmarkEnd w:id="3"/>
    <w:p>
      <w:pPr>
        <w:pStyle w:val="30"/>
        <w:keepNext w:val="0"/>
        <w:keepLines w:val="0"/>
        <w:pageBreakBefore w:val="0"/>
        <w:widowControl/>
        <w:numPr>
          <w:ilvl w:val="0"/>
          <w:numId w:val="16"/>
        </w:numPr>
        <w:kinsoku/>
        <w:wordWrap/>
        <w:overflowPunct/>
        <w:topLinePunct w:val="0"/>
        <w:autoSpaceDE/>
        <w:autoSpaceDN/>
        <w:bidi w:val="0"/>
        <w:adjustRightInd/>
        <w:snapToGrid/>
        <w:spacing w:line="580" w:lineRule="exact"/>
        <w:ind w:left="0" w:leftChars="0" w:firstLine="643"/>
        <w:jc w:val="left"/>
        <w:textAlignment w:val="auto"/>
        <w:rPr>
          <w:rFonts w:ascii="楷体" w:hAnsi="楷体" w:eastAsia="楷体" w:cs="楷体"/>
          <w:b w:val="0"/>
          <w:bCs w:val="0"/>
          <w:color w:val="auto"/>
          <w:kern w:val="0"/>
          <w:sz w:val="32"/>
          <w:szCs w:val="32"/>
        </w:rPr>
      </w:pPr>
      <w:r>
        <w:rPr>
          <w:rFonts w:ascii="楷体" w:hAnsi="楷体" w:eastAsia="楷体" w:cs="楷体"/>
          <w:b w:val="0"/>
          <w:bCs w:val="0"/>
          <w:color w:val="auto"/>
          <w:kern w:val="0"/>
          <w:sz w:val="32"/>
          <w:szCs w:val="32"/>
        </w:rPr>
        <w:t>部门项目绩效评价结果。</w:t>
      </w:r>
    </w:p>
    <w:p>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u w:val="none"/>
        </w:rPr>
      </w:pPr>
      <w:bookmarkStart w:id="4" w:name="OLE_LINK4"/>
      <w:r>
        <w:rPr>
          <w:rFonts w:hint="eastAsia" w:ascii="仿宋_GB2312" w:hAnsi="仿宋_GB2312" w:eastAsia="仿宋_GB2312" w:cs="仿宋_GB2312"/>
          <w:b w:val="0"/>
          <w:bCs w:val="0"/>
          <w:color w:val="auto"/>
          <w:kern w:val="0"/>
          <w:sz w:val="32"/>
          <w:szCs w:val="32"/>
          <w:u w:val="none"/>
        </w:rPr>
        <w:t>以公共法律服务工作经费项目为例，该项目绩效评价综合得分为</w:t>
      </w:r>
      <w:r>
        <w:rPr>
          <w:rFonts w:hint="eastAsia" w:ascii="仿宋_GB2312" w:hAnsi="仿宋_GB2312" w:eastAsia="仿宋_GB2312" w:cs="仿宋_GB2312"/>
          <w:b w:val="0"/>
          <w:bCs w:val="0"/>
          <w:color w:val="auto"/>
          <w:kern w:val="0"/>
          <w:sz w:val="32"/>
          <w:szCs w:val="32"/>
          <w:u w:val="none"/>
          <w:lang w:val="en-US" w:eastAsia="zh-CN"/>
        </w:rPr>
        <w:t>75.13</w:t>
      </w:r>
      <w:r>
        <w:rPr>
          <w:rFonts w:hint="eastAsia" w:ascii="仿宋_GB2312" w:hAnsi="仿宋_GB2312" w:eastAsia="仿宋_GB2312" w:cs="仿宋_GB2312"/>
          <w:b w:val="0"/>
          <w:bCs w:val="0"/>
          <w:color w:val="auto"/>
          <w:kern w:val="0"/>
          <w:sz w:val="32"/>
          <w:szCs w:val="32"/>
          <w:u w:val="none"/>
        </w:rPr>
        <w:t>分，绩效评价结果为“</w:t>
      </w:r>
      <w:r>
        <w:rPr>
          <w:rFonts w:hint="eastAsia" w:ascii="仿宋_GB2312" w:hAnsi="仿宋_GB2312" w:eastAsia="仿宋_GB2312" w:cs="仿宋_GB2312"/>
          <w:b w:val="0"/>
          <w:bCs w:val="0"/>
          <w:color w:val="auto"/>
          <w:kern w:val="0"/>
          <w:sz w:val="32"/>
          <w:szCs w:val="32"/>
          <w:u w:val="none"/>
          <w:lang w:eastAsia="zh-CN"/>
        </w:rPr>
        <w:t>良</w:t>
      </w:r>
      <w:r>
        <w:rPr>
          <w:rFonts w:hint="eastAsia" w:ascii="仿宋_GB2312" w:hAnsi="仿宋_GB2312" w:eastAsia="仿宋_GB2312" w:cs="仿宋_GB2312"/>
          <w:b w:val="0"/>
          <w:bCs w:val="0"/>
          <w:color w:val="auto"/>
          <w:kern w:val="0"/>
          <w:sz w:val="32"/>
          <w:szCs w:val="32"/>
          <w:u w:val="none"/>
        </w:rPr>
        <w:t>”。</w:t>
      </w:r>
      <w:r>
        <w:rPr>
          <w:rFonts w:hint="eastAsia" w:ascii="仿宋_GB2312" w:hAnsi="仿宋_GB2312" w:eastAsia="仿宋_GB2312" w:cs="仿宋_GB2312"/>
          <w:b w:val="0"/>
          <w:bCs w:val="0"/>
          <w:color w:val="auto"/>
          <w:kern w:val="0"/>
          <w:sz w:val="32"/>
          <w:szCs w:val="32"/>
          <w:u w:val="none"/>
          <w:lang w:eastAsia="en-US"/>
        </w:rPr>
        <w:t>A</w:t>
      </w:r>
      <w:r>
        <w:rPr>
          <w:rFonts w:hint="eastAsia" w:ascii="仿宋_GB2312" w:hAnsi="仿宋_GB2312" w:eastAsia="仿宋_GB2312" w:cs="仿宋_GB2312"/>
          <w:b w:val="0"/>
          <w:bCs w:val="0"/>
          <w:color w:val="auto"/>
          <w:kern w:val="0"/>
          <w:sz w:val="32"/>
          <w:szCs w:val="32"/>
          <w:u w:val="none"/>
        </w:rPr>
        <w:t>项目部门评价报告见附件。</w:t>
      </w:r>
      <w:r>
        <w:rPr>
          <w:rFonts w:hint="eastAsia" w:ascii="仿宋_GB2312" w:hAnsi="仿宋_GB2312" w:eastAsia="仿宋_GB2312" w:cs="仿宋_GB2312"/>
          <w:b w:val="0"/>
          <w:bCs w:val="0"/>
          <w:color w:val="auto"/>
          <w:kern w:val="0"/>
          <w:sz w:val="32"/>
          <w:szCs w:val="32"/>
          <w:u w:val="none"/>
          <w:lang w:eastAsia="en-US"/>
        </w:rPr>
        <w:t>﻿</w:t>
      </w:r>
    </w:p>
    <w:bookmarkEnd w:id="4"/>
    <w:p>
      <w:pPr>
        <w:pStyle w:val="5"/>
        <w:keepNext w:val="0"/>
        <w:keepLines w:val="0"/>
        <w:pageBreakBefore w:val="0"/>
        <w:widowControl/>
        <w:numPr>
          <w:ilvl w:val="0"/>
          <w:numId w:val="0"/>
        </w:numPr>
        <w:kinsoku/>
        <w:wordWrap/>
        <w:overflowPunct/>
        <w:topLinePunct w:val="0"/>
        <w:autoSpaceDE/>
        <w:autoSpaceDN/>
        <w:bidi w:val="0"/>
        <w:adjustRightInd/>
        <w:snapToGrid/>
        <w:spacing w:before="0" w:after="0" w:line="580" w:lineRule="exact"/>
        <w:ind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第三部分  名词解释</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一、财政拨款收入：</w:t>
      </w:r>
      <w:r>
        <w:rPr>
          <w:rFonts w:hint="eastAsia" w:ascii="仿宋_GB2312" w:hAnsi="仿宋_GB2312" w:eastAsia="仿宋_GB2312" w:cs="仿宋_GB2312"/>
          <w:color w:val="auto"/>
          <w:kern w:val="0"/>
          <w:sz w:val="32"/>
          <w:szCs w:val="32"/>
        </w:rPr>
        <w:t>从同级财政部门取得的各类财政拨款，包括一般公共预算财政拨款、政府性基金预算财政拨款、国有资本经营预算财政拨款。</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二、上级补助收入：</w:t>
      </w:r>
      <w:r>
        <w:rPr>
          <w:rFonts w:hint="eastAsia" w:ascii="仿宋_GB2312" w:hAnsi="仿宋_GB2312" w:eastAsia="仿宋_GB2312" w:cs="仿宋_GB2312"/>
          <w:color w:val="auto"/>
          <w:kern w:val="0"/>
          <w:sz w:val="32"/>
          <w:szCs w:val="32"/>
        </w:rPr>
        <w:t>指事业单位从主管部门和上级单位取得的非财政补助收入。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三、财政专户管理教育收费：</w:t>
      </w:r>
      <w:r>
        <w:rPr>
          <w:rFonts w:hint="eastAsia" w:ascii="仿宋_GB2312" w:hAnsi="仿宋_GB2312" w:eastAsia="仿宋_GB2312" w:cs="仿宋_GB2312"/>
          <w:color w:val="auto"/>
          <w:kern w:val="0"/>
          <w:sz w:val="32"/>
          <w:szCs w:val="32"/>
        </w:rPr>
        <w:t>指缴入财政专户、实行专项管理的高中以上学费、住宿费、高校委托培养费、函大、电大、夜大及短训班培训费等教育收费。</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四、事业收入：</w:t>
      </w:r>
      <w:r>
        <w:rPr>
          <w:rFonts w:hint="eastAsia" w:ascii="仿宋_GB2312" w:hAnsi="仿宋_GB2312" w:eastAsia="仿宋_GB2312" w:cs="仿宋_GB2312"/>
          <w:color w:val="auto"/>
          <w:kern w:val="0"/>
          <w:sz w:val="32"/>
          <w:szCs w:val="32"/>
        </w:rPr>
        <w:t>指事业单位开展专业业务活动及其辅助活动取得的收入。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五、经营收入：</w:t>
      </w:r>
      <w:r>
        <w:rPr>
          <w:rFonts w:hint="eastAsia" w:ascii="仿宋_GB2312" w:hAnsi="仿宋_GB2312" w:eastAsia="仿宋_GB2312" w:cs="仿宋_GB2312"/>
          <w:color w:val="auto"/>
          <w:kern w:val="0"/>
          <w:sz w:val="32"/>
          <w:szCs w:val="32"/>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六、附属单位上缴收入：</w:t>
      </w:r>
      <w:r>
        <w:rPr>
          <w:rFonts w:hint="eastAsia" w:ascii="仿宋_GB2312" w:hAnsi="仿宋_GB2312" w:eastAsia="仿宋_GB2312" w:cs="仿宋_GB2312"/>
          <w:color w:val="auto"/>
          <w:kern w:val="0"/>
          <w:sz w:val="32"/>
          <w:szCs w:val="32"/>
        </w:rPr>
        <w:t>指事业单位取得附属独立核算单位按照有关规定上缴的收入。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七、其他收入：</w:t>
      </w:r>
      <w:r>
        <w:rPr>
          <w:rFonts w:hint="eastAsia" w:ascii="仿宋_GB2312" w:hAnsi="仿宋_GB2312" w:eastAsia="仿宋_GB2312" w:cs="仿宋_GB2312"/>
          <w:color w:val="auto"/>
          <w:kern w:val="0"/>
          <w:sz w:val="32"/>
          <w:szCs w:val="32"/>
        </w:rPr>
        <w:t>取得的除上述“财政拨款收入”、“上级补助收入”、“事业收入”、“经营收入”、“附属单位上缴收入”等以外的各项收入。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 八、使用非财政拨款结余和专用结余：</w:t>
      </w:r>
      <w:r>
        <w:rPr>
          <w:rFonts w:hint="eastAsia" w:ascii="仿宋_GB2312" w:hAnsi="仿宋_GB2312" w:eastAsia="仿宋_GB2312" w:cs="仿宋_GB2312"/>
          <w:color w:val="auto"/>
          <w:kern w:val="0"/>
          <w:sz w:val="32"/>
          <w:szCs w:val="32"/>
        </w:rPr>
        <w:t>指事业单位按照预算管理要求使用非财政拨款结余和专用结余弥补当年收支差额的数额。</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九、年初结转和结余：</w:t>
      </w:r>
      <w:r>
        <w:rPr>
          <w:rFonts w:hint="eastAsia" w:ascii="仿宋_GB2312" w:hAnsi="仿宋_GB2312" w:eastAsia="仿宋_GB2312" w:cs="仿宋_GB2312"/>
          <w:color w:val="auto"/>
          <w:kern w:val="0"/>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十、结余分配：</w:t>
      </w:r>
      <w:r>
        <w:rPr>
          <w:rFonts w:hint="eastAsia" w:ascii="仿宋_GB2312" w:hAnsi="仿宋_GB2312" w:eastAsia="仿宋_GB2312" w:cs="仿宋_GB2312"/>
          <w:color w:val="auto"/>
          <w:kern w:val="0"/>
          <w:sz w:val="32"/>
          <w:szCs w:val="32"/>
        </w:rPr>
        <w:t>指事业单位按规定缴纳企业所得税以及从非财政拨款结余或经营结余中提取各类结余的情况。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 十一、年末结转和结余资金：</w:t>
      </w:r>
      <w:r>
        <w:rPr>
          <w:rFonts w:hint="eastAsia" w:ascii="仿宋_GB2312" w:hAnsi="仿宋_GB2312" w:eastAsia="仿宋_GB2312" w:cs="仿宋_GB2312"/>
          <w:color w:val="auto"/>
          <w:kern w:val="0"/>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十二、基本支出：</w:t>
      </w:r>
      <w:r>
        <w:rPr>
          <w:rFonts w:hint="eastAsia" w:ascii="仿宋_GB2312" w:hAnsi="仿宋_GB2312" w:eastAsia="仿宋_GB2312" w:cs="仿宋_GB2312"/>
          <w:color w:val="auto"/>
          <w:kern w:val="0"/>
          <w:sz w:val="32"/>
          <w:szCs w:val="32"/>
        </w:rPr>
        <w:t>指为保障机构正常运转、完成日常工作任务所发生的支出，包括人员经费和公用经费。</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十三、项目支出：</w:t>
      </w:r>
      <w:r>
        <w:rPr>
          <w:rFonts w:hint="eastAsia" w:ascii="仿宋_GB2312" w:hAnsi="仿宋_GB2312" w:eastAsia="仿宋_GB2312" w:cs="仿宋_GB2312"/>
          <w:color w:val="auto"/>
          <w:kern w:val="0"/>
          <w:sz w:val="32"/>
          <w:szCs w:val="32"/>
        </w:rPr>
        <w:t>指在为完成特定的工作任务和事业发展目标所发生的支出。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十四、上缴上级支出：</w:t>
      </w:r>
      <w:r>
        <w:rPr>
          <w:rFonts w:hint="eastAsia" w:ascii="仿宋_GB2312" w:hAnsi="仿宋_GB2312" w:eastAsia="仿宋_GB2312" w:cs="仿宋_GB2312"/>
          <w:color w:val="auto"/>
          <w:kern w:val="0"/>
          <w:sz w:val="32"/>
          <w:szCs w:val="32"/>
        </w:rPr>
        <w:t>指事业单位按照财政部门和主管部门的规定上缴上级单位的支出。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十五、经营支出：</w:t>
      </w:r>
      <w:r>
        <w:rPr>
          <w:rFonts w:hint="eastAsia" w:ascii="仿宋_GB2312" w:hAnsi="仿宋_GB2312" w:eastAsia="仿宋_GB2312" w:cs="仿宋_GB2312"/>
          <w:color w:val="auto"/>
          <w:kern w:val="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十六、对附属单位补助支出：</w:t>
      </w:r>
      <w:r>
        <w:rPr>
          <w:rFonts w:hint="eastAsia" w:ascii="仿宋_GB2312" w:hAnsi="仿宋_GB2312" w:eastAsia="仿宋_GB2312" w:cs="仿宋_GB2312"/>
          <w:color w:val="auto"/>
          <w:kern w:val="0"/>
          <w:sz w:val="32"/>
          <w:szCs w:val="32"/>
        </w:rPr>
        <w:t>指事业单位用财政拨款收入之外的收入对附属单位补助发生的支出。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十七、“三公”经费：</w:t>
      </w:r>
      <w:r>
        <w:rPr>
          <w:rFonts w:hint="eastAsia" w:ascii="仿宋_GB2312" w:hAnsi="仿宋_GB2312" w:eastAsia="仿宋_GB2312" w:cs="仿宋_GB2312"/>
          <w:color w:val="auto"/>
          <w:kern w:val="0"/>
          <w:sz w:val="32"/>
          <w:szCs w:val="32"/>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十八、机构运行经费：</w:t>
      </w:r>
      <w:r>
        <w:rPr>
          <w:rFonts w:hint="eastAsia" w:ascii="仿宋_GB2312" w:hAnsi="仿宋_GB2312" w:eastAsia="仿宋_GB2312" w:cs="仿宋_GB2312"/>
          <w:color w:val="auto"/>
          <w:kern w:val="0"/>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p>
    <w:p>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第四部分 决算公开联系方式及信息反馈渠道</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本单位决算公开信息反馈和联系方式：</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联系人：</w:t>
      </w:r>
      <w:r>
        <w:rPr>
          <w:rFonts w:hint="eastAsia" w:ascii="仿宋_GB2312" w:hAnsi="仿宋_GB2312" w:eastAsia="仿宋_GB2312" w:cs="仿宋_GB2312"/>
          <w:color w:val="auto"/>
          <w:kern w:val="0"/>
          <w:sz w:val="32"/>
          <w:szCs w:val="32"/>
          <w:lang w:eastAsia="zh-CN"/>
        </w:rPr>
        <w:t>廉岸琦</w:t>
      </w:r>
      <w:r>
        <w:rPr>
          <w:rFonts w:hint="eastAsia" w:ascii="仿宋_GB2312" w:hAnsi="仿宋_GB2312" w:eastAsia="仿宋_GB2312" w:cs="仿宋_GB2312"/>
          <w:color w:val="auto"/>
          <w:kern w:val="0"/>
          <w:sz w:val="32"/>
          <w:szCs w:val="32"/>
        </w:rPr>
        <w:t>          联系电话：0476-568</w:t>
      </w:r>
      <w:r>
        <w:rPr>
          <w:rFonts w:hint="eastAsia" w:ascii="仿宋_GB2312" w:hAnsi="仿宋_GB2312" w:eastAsia="仿宋_GB2312" w:cs="仿宋_GB2312"/>
          <w:color w:val="auto"/>
          <w:kern w:val="0"/>
          <w:sz w:val="32"/>
          <w:szCs w:val="32"/>
          <w:lang w:val="en-US" w:eastAsia="zh-CN"/>
        </w:rPr>
        <w:t>0089</w:t>
      </w:r>
    </w:p>
    <w:p>
      <w:pPr>
        <w:pStyle w:val="2"/>
      </w:pPr>
    </w:p>
    <w:p>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第五部分 部门（单位）决算表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fang_song_gb2312" w:hAnsi="fang_song_gb2312" w:eastAsia="fang_song_gb2312" w:cs="fang_song_gb2312"/>
          <w:color w:val="auto"/>
          <w:kern w:val="0"/>
          <w:sz w:val="27"/>
          <w:szCs w:val="27"/>
          <w:lang w:val="en-US" w:eastAsia="zh-CN"/>
        </w:rPr>
      </w:pPr>
      <w:r>
        <w:rPr>
          <w:rFonts w:hint="eastAsia" w:ascii="仿宋_GB2312" w:hAnsi="仿宋_GB2312" w:eastAsia="仿宋_GB2312" w:cs="仿宋_GB2312"/>
          <w:color w:val="auto"/>
          <w:kern w:val="0"/>
          <w:sz w:val="32"/>
          <w:szCs w:val="32"/>
          <w:lang w:val="en-US" w:eastAsia="zh-CN"/>
        </w:rPr>
        <w:t>见附件。</w:t>
      </w:r>
    </w:p>
    <w:p>
      <w:pPr>
        <w:keepNext w:val="0"/>
        <w:keepLines w:val="0"/>
        <w:pageBreakBefore w:val="0"/>
        <w:widowControl/>
        <w:kinsoku/>
        <w:wordWrap/>
        <w:overflowPunct/>
        <w:topLinePunct w:val="0"/>
        <w:autoSpaceDE/>
        <w:autoSpaceDN/>
        <w:bidi w:val="0"/>
        <w:spacing w:before="240" w:after="240" w:line="580" w:lineRule="exact"/>
        <w:jc w:val="both"/>
        <w:textAlignment w:val="auto"/>
        <w:rPr>
          <w:rFonts w:ascii="Times New Roman" w:hAnsi="Times New Roman" w:eastAsia="Times New Roman" w:cs="Times New Roman"/>
          <w:kern w:val="0"/>
          <w:sz w:val="24"/>
        </w:rPr>
      </w:pPr>
    </w:p>
    <w:p>
      <w:pPr>
        <w:keepNext w:val="0"/>
        <w:keepLines w:val="0"/>
        <w:pageBreakBefore w:val="0"/>
        <w:widowControl/>
        <w:kinsoku/>
        <w:wordWrap/>
        <w:overflowPunct/>
        <w:topLinePunct w:val="0"/>
        <w:autoSpaceDE/>
        <w:autoSpaceDN/>
        <w:bidi w:val="0"/>
        <w:spacing w:before="240" w:after="240" w:line="580" w:lineRule="exact"/>
        <w:jc w:val="both"/>
        <w:textAlignment w:val="auto"/>
        <w:rPr>
          <w:rFonts w:ascii="Times New Roman" w:hAnsi="Times New Roman" w:eastAsia="Times New Roman" w:cs="Times New Roman"/>
          <w:kern w:val="0"/>
          <w:sz w:val="24"/>
        </w:rPr>
      </w:pPr>
    </w:p>
    <w:p>
      <w:pPr>
        <w:keepNext w:val="0"/>
        <w:keepLines w:val="0"/>
        <w:pageBreakBefore w:val="0"/>
        <w:widowControl/>
        <w:kinsoku/>
        <w:wordWrap/>
        <w:overflowPunct/>
        <w:topLinePunct w:val="0"/>
        <w:autoSpaceDE/>
        <w:autoSpaceDN/>
        <w:bidi w:val="0"/>
        <w:spacing w:before="240" w:after="240" w:line="580" w:lineRule="exact"/>
        <w:jc w:val="both"/>
        <w:textAlignment w:val="auto"/>
        <w:rPr>
          <w:rFonts w:ascii="Times New Roman" w:hAnsi="Times New Roman" w:eastAsia="Times New Roman" w:cs="Times New Roman"/>
          <w:kern w:val="0"/>
          <w:sz w:val="24"/>
        </w:rPr>
      </w:pPr>
    </w:p>
    <w:p>
      <w:pPr>
        <w:keepNext w:val="0"/>
        <w:keepLines w:val="0"/>
        <w:pageBreakBefore w:val="0"/>
        <w:widowControl/>
        <w:kinsoku/>
        <w:wordWrap/>
        <w:overflowPunct/>
        <w:topLinePunct w:val="0"/>
        <w:autoSpaceDE/>
        <w:autoSpaceDN/>
        <w:bidi w:val="0"/>
        <w:spacing w:before="240" w:after="240" w:line="580" w:lineRule="exact"/>
        <w:jc w:val="both"/>
        <w:textAlignment w:val="auto"/>
        <w:rPr>
          <w:rFonts w:ascii="Times New Roman" w:hAnsi="Times New Roman" w:eastAsia="Times New Roman" w:cs="Times New Roman"/>
          <w:kern w:val="0"/>
          <w:sz w:val="24"/>
        </w:rPr>
      </w:pPr>
    </w:p>
    <w:bookmarkEnd w:id="0"/>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ascii="宋体" w:hAnsi="宋体"/>
          <w:b/>
          <w:sz w:val="32"/>
          <w:szCs w:val="32"/>
        </w:rPr>
      </w:pPr>
    </w:p>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ascii="宋体" w:hAnsi="宋体"/>
          <w:b/>
          <w:sz w:val="32"/>
          <w:szCs w:val="32"/>
        </w:rPr>
      </w:pPr>
    </w:p>
    <w:p>
      <w:pPr>
        <w:keepNext w:val="0"/>
        <w:keepLines w:val="0"/>
        <w:pageBreakBefore w:val="0"/>
        <w:tabs>
          <w:tab w:val="left" w:pos="8415"/>
        </w:tabs>
        <w:kinsoku/>
        <w:wordWrap/>
        <w:overflowPunct/>
        <w:topLinePunct w:val="0"/>
        <w:autoSpaceDE/>
        <w:autoSpaceDN/>
        <w:bidi w:val="0"/>
        <w:spacing w:line="580" w:lineRule="exact"/>
        <w:jc w:val="both"/>
        <w:textAlignment w:val="auto"/>
      </w:pPr>
    </w:p>
    <w:sectPr>
      <w:footerReference r:id="rId3" w:type="default"/>
      <w:pgSz w:w="11906" w:h="16838"/>
      <w:pgMar w:top="2098" w:right="1474" w:bottom="1701" w:left="1474" w:header="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times_new_roman">
    <w:altName w:val="华文仿宋"/>
    <w:panose1 w:val="00000000000000000000"/>
    <w:charset w:val="00"/>
    <w:family w:val="auto"/>
    <w:pitch w:val="default"/>
    <w:sig w:usb0="00000000" w:usb1="00000000" w:usb2="00000000" w:usb3="00000000" w:csb0="00000000" w:csb1="00000000"/>
  </w:font>
  <w:font w:name="fang_song_gb2312">
    <w:altName w:val="华文仿宋"/>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auto"/>
    <w:pitch w:val="default"/>
    <w:sig w:usb0="00000000" w:usb1="00000000" w:usb2="00000016" w:usb3="00000000" w:csb0="00040001" w:csb1="00000000"/>
  </w:font>
  <w:font w:name="CESI仿宋-GB18030">
    <w:panose1 w:val="02000500000000000000"/>
    <w:charset w:val="86"/>
    <w:family w:val="auto"/>
    <w:pitch w:val="default"/>
    <w:sig w:usb0="A00002BF" w:usb1="38C77CFA"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FreeSerif">
    <w:panose1 w:val="02020603050405020304"/>
    <w:charset w:val="00"/>
    <w:family w:val="auto"/>
    <w:pitch w:val="default"/>
    <w:sig w:usb0="E59FAFFF" w:usb1="C200FDFF" w:usb2="43501B29" w:usb3="04000043" w:csb0="600101FF" w:csb1="FFFF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26</w:t>
    </w:r>
    <w:r>
      <w:rPr>
        <w:lang w:val="zh-CN"/>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9D40B"/>
    <w:multiLevelType w:val="multilevel"/>
    <w:tmpl w:val="88B9D40B"/>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A2BD1607"/>
    <w:multiLevelType w:val="singleLevel"/>
    <w:tmpl w:val="A2BD1607"/>
    <w:lvl w:ilvl="0" w:tentative="0">
      <w:start w:val="1"/>
      <w:numFmt w:val="decimal"/>
      <w:suff w:val="space"/>
      <w:lvlText w:val="%1."/>
      <w:lvlJc w:val="left"/>
    </w:lvl>
  </w:abstractNum>
  <w:abstractNum w:abstractNumId="2">
    <w:nsid w:val="ADEA33AD"/>
    <w:multiLevelType w:val="singleLevel"/>
    <w:tmpl w:val="ADEA33AD"/>
    <w:lvl w:ilvl="0" w:tentative="0">
      <w:start w:val="3"/>
      <w:numFmt w:val="chineseCounting"/>
      <w:suff w:val="nothing"/>
      <w:lvlText w:val="（%1）"/>
      <w:lvlJc w:val="left"/>
      <w:rPr>
        <w:rFonts w:hint="eastAsia"/>
      </w:rPr>
    </w:lvl>
  </w:abstractNum>
  <w:abstractNum w:abstractNumId="3">
    <w:nsid w:val="B70F6DD4"/>
    <w:multiLevelType w:val="singleLevel"/>
    <w:tmpl w:val="B70F6DD4"/>
    <w:lvl w:ilvl="0" w:tentative="0">
      <w:start w:val="1"/>
      <w:numFmt w:val="decimal"/>
      <w:suff w:val="space"/>
      <w:lvlText w:val="%1."/>
      <w:lvlJc w:val="left"/>
    </w:lvl>
  </w:abstractNum>
  <w:abstractNum w:abstractNumId="4">
    <w:nsid w:val="BAF7DC27"/>
    <w:multiLevelType w:val="singleLevel"/>
    <w:tmpl w:val="BAF7DC27"/>
    <w:lvl w:ilvl="0" w:tentative="0">
      <w:start w:val="1"/>
      <w:numFmt w:val="decimal"/>
      <w:suff w:val="space"/>
      <w:lvlText w:val="%1."/>
      <w:lvlJc w:val="left"/>
    </w:lvl>
  </w:abstractNum>
  <w:abstractNum w:abstractNumId="5">
    <w:nsid w:val="BEFF0583"/>
    <w:multiLevelType w:val="singleLevel"/>
    <w:tmpl w:val="BEFF0583"/>
    <w:lvl w:ilvl="0" w:tentative="0">
      <w:start w:val="1"/>
      <w:numFmt w:val="decimal"/>
      <w:suff w:val="space"/>
      <w:lvlText w:val="%1."/>
      <w:lvlJc w:val="left"/>
    </w:lvl>
  </w:abstractNum>
  <w:abstractNum w:abstractNumId="6">
    <w:nsid w:val="DF6E6A2B"/>
    <w:multiLevelType w:val="singleLevel"/>
    <w:tmpl w:val="DF6E6A2B"/>
    <w:lvl w:ilvl="0" w:tentative="0">
      <w:start w:val="9"/>
      <w:numFmt w:val="chineseCounting"/>
      <w:suff w:val="nothing"/>
      <w:lvlText w:val="%1、"/>
      <w:lvlJc w:val="left"/>
      <w:rPr>
        <w:rFonts w:hint="eastAsia"/>
      </w:rPr>
    </w:lvl>
  </w:abstractNum>
  <w:abstractNum w:abstractNumId="7">
    <w:nsid w:val="E9FB992C"/>
    <w:multiLevelType w:val="singleLevel"/>
    <w:tmpl w:val="E9FB992C"/>
    <w:lvl w:ilvl="0" w:tentative="0">
      <w:start w:val="2"/>
      <w:numFmt w:val="chineseCounting"/>
      <w:suff w:val="space"/>
      <w:lvlText w:val="第%1部分"/>
      <w:lvlJc w:val="left"/>
      <w:rPr>
        <w:rFonts w:hint="eastAsia"/>
      </w:rPr>
    </w:lvl>
  </w:abstractNum>
  <w:abstractNum w:abstractNumId="8">
    <w:nsid w:val="EF65E980"/>
    <w:multiLevelType w:val="singleLevel"/>
    <w:tmpl w:val="EF65E980"/>
    <w:lvl w:ilvl="0" w:tentative="0">
      <w:start w:val="1"/>
      <w:numFmt w:val="decimal"/>
      <w:suff w:val="nothing"/>
      <w:lvlText w:val="%1．"/>
      <w:lvlJc w:val="left"/>
    </w:lvl>
  </w:abstractNum>
  <w:abstractNum w:abstractNumId="9">
    <w:nsid w:val="F577ADA4"/>
    <w:multiLevelType w:val="singleLevel"/>
    <w:tmpl w:val="F577ADA4"/>
    <w:lvl w:ilvl="0" w:tentative="0">
      <w:start w:val="1"/>
      <w:numFmt w:val="decimal"/>
      <w:suff w:val="space"/>
      <w:lvlText w:val="%1."/>
      <w:lvlJc w:val="left"/>
    </w:lvl>
  </w:abstractNum>
  <w:abstractNum w:abstractNumId="10">
    <w:nsid w:val="FEB684F5"/>
    <w:multiLevelType w:val="singleLevel"/>
    <w:tmpl w:val="FEB684F5"/>
    <w:lvl w:ilvl="0" w:tentative="0">
      <w:start w:val="1"/>
      <w:numFmt w:val="decimal"/>
      <w:suff w:val="space"/>
      <w:lvlText w:val="%1."/>
      <w:lvlJc w:val="left"/>
    </w:lvl>
  </w:abstractNum>
  <w:abstractNum w:abstractNumId="11">
    <w:nsid w:val="426D866A"/>
    <w:multiLevelType w:val="singleLevel"/>
    <w:tmpl w:val="426D866A"/>
    <w:lvl w:ilvl="0" w:tentative="0">
      <w:start w:val="3"/>
      <w:numFmt w:val="chineseCounting"/>
      <w:suff w:val="nothing"/>
      <w:lvlText w:val="（%1）"/>
      <w:lvlJc w:val="left"/>
      <w:rPr>
        <w:rFonts w:hint="eastAsia"/>
      </w:rPr>
    </w:lvl>
  </w:abstractNum>
  <w:abstractNum w:abstractNumId="12">
    <w:nsid w:val="6F0249CB"/>
    <w:multiLevelType w:val="singleLevel"/>
    <w:tmpl w:val="6F0249CB"/>
    <w:lvl w:ilvl="0" w:tentative="0">
      <w:start w:val="1"/>
      <w:numFmt w:val="decimal"/>
      <w:suff w:val="space"/>
      <w:lvlText w:val="%1."/>
      <w:lvlJc w:val="left"/>
    </w:lvl>
  </w:abstractNum>
  <w:abstractNum w:abstractNumId="13">
    <w:nsid w:val="6FAE938F"/>
    <w:multiLevelType w:val="singleLevel"/>
    <w:tmpl w:val="6FAE938F"/>
    <w:lvl w:ilvl="0" w:tentative="0">
      <w:start w:val="2"/>
      <w:numFmt w:val="chineseCounting"/>
      <w:suff w:val="nothing"/>
      <w:lvlText w:val="（%1）"/>
      <w:lvlJc w:val="left"/>
      <w:rPr>
        <w:rFonts w:hint="eastAsia"/>
      </w:rPr>
    </w:lvl>
  </w:abstractNum>
  <w:abstractNum w:abstractNumId="14">
    <w:nsid w:val="79DECDAB"/>
    <w:multiLevelType w:val="singleLevel"/>
    <w:tmpl w:val="79DECDAB"/>
    <w:lvl w:ilvl="0" w:tentative="0">
      <w:start w:val="1"/>
      <w:numFmt w:val="chineseCounting"/>
      <w:suff w:val="space"/>
      <w:lvlText w:val="第%1部分"/>
      <w:lvlJc w:val="left"/>
      <w:rPr>
        <w:rFonts w:hint="eastAsia"/>
      </w:rPr>
    </w:lvl>
  </w:abstractNum>
  <w:abstractNum w:abstractNumId="15">
    <w:nsid w:val="7FF7BC33"/>
    <w:multiLevelType w:val="singleLevel"/>
    <w:tmpl w:val="7FF7BC33"/>
    <w:lvl w:ilvl="0" w:tentative="0">
      <w:start w:val="5"/>
      <w:numFmt w:val="chineseCounting"/>
      <w:suff w:val="nothing"/>
      <w:lvlText w:val="%1、"/>
      <w:lvlJc w:val="left"/>
      <w:rPr>
        <w:rFonts w:hint="eastAsia"/>
      </w:rPr>
    </w:lvl>
  </w:abstractNum>
  <w:num w:numId="1">
    <w:abstractNumId w:val="7"/>
  </w:num>
  <w:num w:numId="2">
    <w:abstractNumId w:val="14"/>
  </w:num>
  <w:num w:numId="3">
    <w:abstractNumId w:val="1"/>
  </w:num>
  <w:num w:numId="4">
    <w:abstractNumId w:val="15"/>
  </w:num>
  <w:num w:numId="5">
    <w:abstractNumId w:val="3"/>
  </w:num>
  <w:num w:numId="6">
    <w:abstractNumId w:val="12"/>
  </w:num>
  <w:num w:numId="7">
    <w:abstractNumId w:val="2"/>
  </w:num>
  <w:num w:numId="8">
    <w:abstractNumId w:val="10"/>
  </w:num>
  <w:num w:numId="9">
    <w:abstractNumId w:val="9"/>
  </w:num>
  <w:num w:numId="10">
    <w:abstractNumId w:val="0"/>
  </w:num>
  <w:num w:numId="11">
    <w:abstractNumId w:val="8"/>
  </w:num>
  <w:num w:numId="12">
    <w:abstractNumId w:val="13"/>
  </w:num>
  <w:num w:numId="13">
    <w:abstractNumId w:val="4"/>
  </w:num>
  <w:num w:numId="14">
    <w:abstractNumId w:val="6"/>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MzNjAyNzdmZDk4NDNkZjA3OTVkMjE4MzU2Zjk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CEB6A28"/>
    <w:rsid w:val="0FBF2DDA"/>
    <w:rsid w:val="0FCD7773"/>
    <w:rsid w:val="13EF50E6"/>
    <w:rsid w:val="13FB8EA6"/>
    <w:rsid w:val="1EEFD0D2"/>
    <w:rsid w:val="1F916710"/>
    <w:rsid w:val="1FB27412"/>
    <w:rsid w:val="1FEDAE0E"/>
    <w:rsid w:val="23FE7F22"/>
    <w:rsid w:val="2666D212"/>
    <w:rsid w:val="2AFEA506"/>
    <w:rsid w:val="2FFD3DCA"/>
    <w:rsid w:val="33DF4C44"/>
    <w:rsid w:val="34F560BD"/>
    <w:rsid w:val="369F5F04"/>
    <w:rsid w:val="36F4C562"/>
    <w:rsid w:val="37EFCB99"/>
    <w:rsid w:val="37FF5680"/>
    <w:rsid w:val="39BF1E39"/>
    <w:rsid w:val="3A1AFAA6"/>
    <w:rsid w:val="3B6F57B2"/>
    <w:rsid w:val="3BDA4E34"/>
    <w:rsid w:val="3BFB6BCF"/>
    <w:rsid w:val="3DE26237"/>
    <w:rsid w:val="3DF7AC24"/>
    <w:rsid w:val="3F4E7B46"/>
    <w:rsid w:val="3F6E63A7"/>
    <w:rsid w:val="3FBFE69C"/>
    <w:rsid w:val="3FDB6EDE"/>
    <w:rsid w:val="3FDC2B5B"/>
    <w:rsid w:val="46FFC4A6"/>
    <w:rsid w:val="47DF4A80"/>
    <w:rsid w:val="494D2012"/>
    <w:rsid w:val="4B7FD54C"/>
    <w:rsid w:val="4CBF2E1F"/>
    <w:rsid w:val="52DFF2DD"/>
    <w:rsid w:val="55465BF2"/>
    <w:rsid w:val="59EE994F"/>
    <w:rsid w:val="59F77C9B"/>
    <w:rsid w:val="5DFA5B9F"/>
    <w:rsid w:val="5ECFFDD1"/>
    <w:rsid w:val="5EE4A199"/>
    <w:rsid w:val="5F1EF4D4"/>
    <w:rsid w:val="5F7F0CE1"/>
    <w:rsid w:val="5FAF56D2"/>
    <w:rsid w:val="5FFBA99E"/>
    <w:rsid w:val="644E54C6"/>
    <w:rsid w:val="657F7CE7"/>
    <w:rsid w:val="65EBFA59"/>
    <w:rsid w:val="666BBDAC"/>
    <w:rsid w:val="67EF8FF1"/>
    <w:rsid w:val="67FD6B5C"/>
    <w:rsid w:val="697CC717"/>
    <w:rsid w:val="6B9921F4"/>
    <w:rsid w:val="6BFFA6A7"/>
    <w:rsid w:val="6DF5AA01"/>
    <w:rsid w:val="6E53231D"/>
    <w:rsid w:val="6EE6F389"/>
    <w:rsid w:val="6FB9002E"/>
    <w:rsid w:val="6FC3337A"/>
    <w:rsid w:val="6FFDC160"/>
    <w:rsid w:val="6FFEE581"/>
    <w:rsid w:val="729A0167"/>
    <w:rsid w:val="74BFEF66"/>
    <w:rsid w:val="75EF74D9"/>
    <w:rsid w:val="76EF7591"/>
    <w:rsid w:val="775FDF23"/>
    <w:rsid w:val="77EF9E10"/>
    <w:rsid w:val="797F77E6"/>
    <w:rsid w:val="7A75C2A7"/>
    <w:rsid w:val="7A9F1346"/>
    <w:rsid w:val="7ADF127E"/>
    <w:rsid w:val="7BDF6F82"/>
    <w:rsid w:val="7BFE3F61"/>
    <w:rsid w:val="7BFF725B"/>
    <w:rsid w:val="7CBF8ED7"/>
    <w:rsid w:val="7CDB661B"/>
    <w:rsid w:val="7D639E03"/>
    <w:rsid w:val="7DDF124E"/>
    <w:rsid w:val="7DDFC965"/>
    <w:rsid w:val="7EB59F3D"/>
    <w:rsid w:val="7EEBE849"/>
    <w:rsid w:val="7EF72149"/>
    <w:rsid w:val="7F2F4F89"/>
    <w:rsid w:val="7F364DE7"/>
    <w:rsid w:val="7F36F6EC"/>
    <w:rsid w:val="7F9923B7"/>
    <w:rsid w:val="7FA6757F"/>
    <w:rsid w:val="7FAF1CB9"/>
    <w:rsid w:val="7FE310FE"/>
    <w:rsid w:val="7FEECE87"/>
    <w:rsid w:val="7FEFCDB1"/>
    <w:rsid w:val="7FF7FBBA"/>
    <w:rsid w:val="7FFF404A"/>
    <w:rsid w:val="8FC665B5"/>
    <w:rsid w:val="9F7BD7E8"/>
    <w:rsid w:val="A7D7AD40"/>
    <w:rsid w:val="A7FE2636"/>
    <w:rsid w:val="A957CD0C"/>
    <w:rsid w:val="ACBF63C0"/>
    <w:rsid w:val="AD93C1E7"/>
    <w:rsid w:val="AFB0056F"/>
    <w:rsid w:val="AFFFB08C"/>
    <w:rsid w:val="B31B56AE"/>
    <w:rsid w:val="BA7B23C6"/>
    <w:rsid w:val="BBCF8813"/>
    <w:rsid w:val="BF3E71AF"/>
    <w:rsid w:val="BFFED7F3"/>
    <w:rsid w:val="BFFFCE36"/>
    <w:rsid w:val="C43C1487"/>
    <w:rsid w:val="C7FFB9B4"/>
    <w:rsid w:val="CAEEC293"/>
    <w:rsid w:val="CBD36FEC"/>
    <w:rsid w:val="CF99A085"/>
    <w:rsid w:val="D33EA3C8"/>
    <w:rsid w:val="D37C65D7"/>
    <w:rsid w:val="D737AEE7"/>
    <w:rsid w:val="D7910F88"/>
    <w:rsid w:val="D7E66DCB"/>
    <w:rsid w:val="D7FF393A"/>
    <w:rsid w:val="DABEB63A"/>
    <w:rsid w:val="DB49DDEB"/>
    <w:rsid w:val="DC9FC105"/>
    <w:rsid w:val="DEF7AC07"/>
    <w:rsid w:val="DEFF17A6"/>
    <w:rsid w:val="DF971695"/>
    <w:rsid w:val="DFA3AC13"/>
    <w:rsid w:val="DFAF64D6"/>
    <w:rsid w:val="DFBF29EB"/>
    <w:rsid w:val="DFEC521A"/>
    <w:rsid w:val="DFFE3EB1"/>
    <w:rsid w:val="E66F262A"/>
    <w:rsid w:val="E7B7BAC7"/>
    <w:rsid w:val="E7EA2993"/>
    <w:rsid w:val="E9FFD324"/>
    <w:rsid w:val="EABF6BEC"/>
    <w:rsid w:val="EBB82363"/>
    <w:rsid w:val="EBFFE58E"/>
    <w:rsid w:val="EC7FEC13"/>
    <w:rsid w:val="EE5F4339"/>
    <w:rsid w:val="EE7B7011"/>
    <w:rsid w:val="EF22A8E1"/>
    <w:rsid w:val="EF3F5E93"/>
    <w:rsid w:val="EFDEA319"/>
    <w:rsid w:val="EFE70F64"/>
    <w:rsid w:val="EFEFEE95"/>
    <w:rsid w:val="EFFBBCD8"/>
    <w:rsid w:val="F1E2F1B9"/>
    <w:rsid w:val="F2EFF658"/>
    <w:rsid w:val="F3E73D91"/>
    <w:rsid w:val="F3FF2657"/>
    <w:rsid w:val="F4E4A7BE"/>
    <w:rsid w:val="F6BDE90D"/>
    <w:rsid w:val="F757DA75"/>
    <w:rsid w:val="F7718FCA"/>
    <w:rsid w:val="F77B5A51"/>
    <w:rsid w:val="F77DBA01"/>
    <w:rsid w:val="F7F2426B"/>
    <w:rsid w:val="F7F92749"/>
    <w:rsid w:val="F7FE8F3B"/>
    <w:rsid w:val="FAFF57FA"/>
    <w:rsid w:val="FB7B267C"/>
    <w:rsid w:val="FBB7CA2D"/>
    <w:rsid w:val="FC2B183E"/>
    <w:rsid w:val="FCDF9962"/>
    <w:rsid w:val="FD1B2C3D"/>
    <w:rsid w:val="FD3F30BA"/>
    <w:rsid w:val="FD738FF5"/>
    <w:rsid w:val="FD7EE8A8"/>
    <w:rsid w:val="FD9F19F1"/>
    <w:rsid w:val="FDFE53F2"/>
    <w:rsid w:val="FDFFDF57"/>
    <w:rsid w:val="FE357024"/>
    <w:rsid w:val="FE57BC8D"/>
    <w:rsid w:val="FEB53A4F"/>
    <w:rsid w:val="FEEF47A8"/>
    <w:rsid w:val="FEF79BFB"/>
    <w:rsid w:val="FF4FEFFF"/>
    <w:rsid w:val="FF5FC4AB"/>
    <w:rsid w:val="FF7FCC1C"/>
    <w:rsid w:val="FFAF7A45"/>
    <w:rsid w:val="FFCBC8EE"/>
    <w:rsid w:val="FFE651A4"/>
    <w:rsid w:val="FFEB61F0"/>
    <w:rsid w:val="FFF50F11"/>
    <w:rsid w:val="FFFB179D"/>
    <w:rsid w:val="FFFF7988"/>
    <w:rsid w:val="FFFF9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9"/>
    <w:qFormat/>
    <w:uiPriority w:val="0"/>
    <w:pPr>
      <w:keepNext/>
      <w:keepLines/>
      <w:spacing w:before="260" w:after="260" w:line="416" w:lineRule="auto"/>
      <w:outlineLvl w:val="2"/>
    </w:pPr>
    <w:rPr>
      <w:b/>
      <w:bCs/>
      <w:sz w:val="32"/>
      <w:szCs w:val="32"/>
    </w:rPr>
  </w:style>
  <w:style w:type="paragraph" w:styleId="7">
    <w:name w:val="heading 4"/>
    <w:basedOn w:val="1"/>
    <w:next w:val="1"/>
    <w:link w:val="24"/>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autoSpaceDE/>
      <w:autoSpaceDN/>
      <w:adjustRightInd/>
      <w:spacing w:beforeLines="0" w:afterLines="0"/>
      <w:ind w:firstLine="420"/>
    </w:pPr>
    <w:rPr>
      <w:rFonts w:hint="eastAsia" w:ascii="宋体" w:hAnsi="宋体" w:eastAsia="宋体"/>
      <w:sz w:val="24"/>
      <w:szCs w:val="24"/>
    </w:rPr>
  </w:style>
  <w:style w:type="paragraph" w:styleId="3">
    <w:name w:val="Body Text Indent"/>
    <w:basedOn w:val="1"/>
    <w:unhideWhenUsed/>
    <w:qFormat/>
    <w:uiPriority w:val="99"/>
    <w:pPr>
      <w:spacing w:beforeLines="0" w:after="120" w:afterLines="0"/>
      <w:ind w:left="420" w:leftChars="200"/>
    </w:pPr>
    <w:rPr>
      <w:rFonts w:hint="eastAsia"/>
      <w:sz w:val="24"/>
      <w:szCs w:val="24"/>
    </w:rPr>
  </w:style>
  <w:style w:type="paragraph" w:styleId="8">
    <w:name w:val="toc 7"/>
    <w:basedOn w:val="1"/>
    <w:next w:val="1"/>
    <w:qFormat/>
    <w:uiPriority w:val="0"/>
    <w:pPr>
      <w:ind w:left="1260"/>
      <w:jc w:val="left"/>
    </w:pPr>
    <w:rPr>
      <w:sz w:val="20"/>
      <w:szCs w:val="20"/>
    </w:rPr>
  </w:style>
  <w:style w:type="paragraph" w:styleId="9">
    <w:name w:val="Document Map"/>
    <w:basedOn w:val="1"/>
    <w:qFormat/>
    <w:uiPriority w:val="0"/>
    <w:pPr>
      <w:shd w:val="clear" w:color="auto" w:fill="000080"/>
    </w:pPr>
  </w:style>
  <w:style w:type="paragraph" w:styleId="10">
    <w:name w:val="toc 5"/>
    <w:basedOn w:val="1"/>
    <w:next w:val="1"/>
    <w:qFormat/>
    <w:uiPriority w:val="0"/>
    <w:pPr>
      <w:ind w:left="840"/>
      <w:jc w:val="left"/>
    </w:pPr>
    <w:rPr>
      <w:sz w:val="20"/>
      <w:szCs w:val="20"/>
    </w:rPr>
  </w:style>
  <w:style w:type="paragraph" w:styleId="11">
    <w:name w:val="toc 3"/>
    <w:basedOn w:val="1"/>
    <w:next w:val="1"/>
    <w:qFormat/>
    <w:uiPriority w:val="0"/>
    <w:pPr>
      <w:adjustRightInd w:val="0"/>
      <w:snapToGrid w:val="0"/>
      <w:spacing w:line="360" w:lineRule="auto"/>
      <w:ind w:firstLine="400" w:firstLineChars="400"/>
      <w:jc w:val="left"/>
    </w:pPr>
    <w:rPr>
      <w:sz w:val="24"/>
      <w:szCs w:val="20"/>
    </w:rPr>
  </w:style>
  <w:style w:type="paragraph" w:styleId="12">
    <w:name w:val="toc 8"/>
    <w:basedOn w:val="1"/>
    <w:next w:val="1"/>
    <w:qFormat/>
    <w:uiPriority w:val="0"/>
    <w:pPr>
      <w:ind w:left="1470"/>
      <w:jc w:val="left"/>
    </w:pPr>
    <w:rPr>
      <w:sz w:val="20"/>
      <w:szCs w:val="20"/>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snapToGrid w:val="0"/>
      <w:spacing w:line="360" w:lineRule="auto"/>
      <w:jc w:val="left"/>
    </w:pPr>
    <w:rPr>
      <w:b/>
      <w:bCs/>
      <w:sz w:val="24"/>
      <w:szCs w:val="20"/>
    </w:rPr>
  </w:style>
  <w:style w:type="paragraph" w:styleId="16">
    <w:name w:val="toc 4"/>
    <w:basedOn w:val="1"/>
    <w:next w:val="1"/>
    <w:qFormat/>
    <w:uiPriority w:val="0"/>
    <w:pPr>
      <w:ind w:left="630"/>
      <w:jc w:val="left"/>
    </w:pPr>
    <w:rPr>
      <w:sz w:val="20"/>
      <w:szCs w:val="20"/>
    </w:rPr>
  </w:style>
  <w:style w:type="paragraph" w:styleId="17">
    <w:name w:val="toc 6"/>
    <w:basedOn w:val="1"/>
    <w:next w:val="1"/>
    <w:qFormat/>
    <w:uiPriority w:val="0"/>
    <w:pPr>
      <w:ind w:left="1050"/>
      <w:jc w:val="left"/>
    </w:pPr>
    <w:rPr>
      <w:sz w:val="20"/>
      <w:szCs w:val="20"/>
    </w:rPr>
  </w:style>
  <w:style w:type="paragraph" w:styleId="18">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9">
    <w:name w:val="toc 9"/>
    <w:basedOn w:val="1"/>
    <w:next w:val="1"/>
    <w:qFormat/>
    <w:uiPriority w:val="0"/>
    <w:pPr>
      <w:ind w:left="1680"/>
      <w:jc w:val="left"/>
    </w:pPr>
    <w:rPr>
      <w:sz w:val="20"/>
      <w:szCs w:val="20"/>
    </w:r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标题 4 字符"/>
    <w:basedOn w:val="21"/>
    <w:link w:val="7"/>
    <w:qFormat/>
    <w:uiPriority w:val="0"/>
    <w:rPr>
      <w:rFonts w:ascii="Cambria" w:hAnsi="Cambria"/>
      <w:b/>
      <w:bCs/>
      <w:kern w:val="2"/>
      <w:sz w:val="28"/>
      <w:szCs w:val="28"/>
    </w:rPr>
  </w:style>
  <w:style w:type="paragraph" w:styleId="25">
    <w:name w:val="No Spacing"/>
    <w:link w:val="26"/>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6">
    <w:name w:val="无间隔 字符"/>
    <w:link w:val="25"/>
    <w:qFormat/>
    <w:locked/>
    <w:uiPriority w:val="0"/>
    <w:rPr>
      <w:rFonts w:eastAsia="仿宋_GB2312"/>
      <w:sz w:val="30"/>
      <w:szCs w:val="22"/>
      <w:lang w:bidi="ar-SA"/>
    </w:rPr>
  </w:style>
  <w:style w:type="character" w:customStyle="1" w:styleId="27">
    <w:name w:val="页脚 字符"/>
    <w:basedOn w:val="21"/>
    <w:link w:val="13"/>
    <w:qFormat/>
    <w:uiPriority w:val="0"/>
    <w:rPr>
      <w:kern w:val="2"/>
      <w:sz w:val="18"/>
      <w:szCs w:val="18"/>
    </w:rPr>
  </w:style>
  <w:style w:type="paragraph" w:styleId="28">
    <w:name w:val="List Paragraph"/>
    <w:basedOn w:val="1"/>
    <w:qFormat/>
    <w:uiPriority w:val="0"/>
    <w:pPr>
      <w:ind w:firstLine="420" w:firstLineChars="200"/>
    </w:pPr>
  </w:style>
  <w:style w:type="character" w:customStyle="1" w:styleId="29">
    <w:name w:val="标题 3 字符"/>
    <w:basedOn w:val="21"/>
    <w:link w:val="6"/>
    <w:qFormat/>
    <w:uiPriority w:val="0"/>
    <w:rPr>
      <w:b/>
      <w:bCs/>
      <w:kern w:val="2"/>
      <w:sz w:val="32"/>
      <w:szCs w:val="32"/>
    </w:rPr>
  </w:style>
  <w:style w:type="paragraph" w:customStyle="1" w:styleId="30">
    <w:name w:val="MsoNormal"/>
    <w:basedOn w:val="1"/>
    <w:qFormat/>
    <w:uiPriority w:val="0"/>
  </w:style>
  <w:style w:type="paragraph" w:customStyle="1" w:styleId="31">
    <w:name w:val="MsoBodyText"/>
    <w:basedOn w:val="1"/>
    <w:qFormat/>
    <w:uiPriority w:val="0"/>
  </w:style>
  <w:style w:type="paragraph" w:customStyle="1" w:styleId="32">
    <w:name w:val="MsoBodyTextFirstIndent2"/>
    <w:basedOn w:val="1"/>
    <w:qFormat/>
    <w:uiPriority w:val="0"/>
  </w:style>
  <w:style w:type="paragraph" w:customStyle="1" w:styleId="33">
    <w:name w:val="正文首行缩进 21"/>
    <w:basedOn w:val="34"/>
    <w:unhideWhenUsed/>
    <w:qFormat/>
    <w:uiPriority w:val="0"/>
    <w:pPr>
      <w:spacing w:after="120"/>
      <w:ind w:firstLine="420"/>
    </w:pPr>
    <w:rPr>
      <w:rFonts w:ascii="Calibri" w:hAnsi="Calibri" w:eastAsia="仿宋_GB2312"/>
      <w:sz w:val="32"/>
    </w:rPr>
  </w:style>
  <w:style w:type="paragraph" w:customStyle="1" w:styleId="34">
    <w:name w:val="正文文本缩进1"/>
    <w:basedOn w:val="1"/>
    <w:next w:val="33"/>
    <w:unhideWhenUsed/>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收入决算图</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Pt>
            <c:idx val="4"/>
            <c:bubble3D val="false"/>
            <c:spPr>
              <a:solidFill>
                <a:schemeClr val="accent5"/>
              </a:solidFill>
              <a:ln>
                <a:noFill/>
              </a:ln>
              <a:effectLst>
                <a:outerShdw blurRad="254000" sx="102000" sy="102000" algn="ctr" rotWithShape="0">
                  <a:prstClr val="black">
                    <a:alpha val="20000"/>
                  </a:prstClr>
                </a:outerShdw>
              </a:effectLst>
            </c:spPr>
          </c:dPt>
          <c:dPt>
            <c:idx val="5"/>
            <c:bubble3D val="false"/>
            <c:spPr>
              <a:solidFill>
                <a:schemeClr val="accent6"/>
              </a:solidFill>
              <a:ln>
                <a:noFill/>
              </a:ln>
              <a:effectLst>
                <a:outerShdw blurRad="254000" sx="102000" sy="102000" algn="ctr" rotWithShape="0">
                  <a:prstClr val="black">
                    <a:alpha val="20000"/>
                  </a:prstClr>
                </a:outerShdw>
              </a:effectLst>
            </c:spPr>
          </c:dPt>
          <c:dPt>
            <c:idx val="6"/>
            <c:bubble3D val="false"/>
            <c:spPr>
              <a:solidFill>
                <a:schemeClr val="accent1">
                  <a:lumMod val="60000"/>
                </a:schemeClr>
              </a:solidFill>
              <a:ln>
                <a:noFill/>
              </a:ln>
              <a:effectLst>
                <a:outerShdw blurRad="254000" sx="102000" sy="102000" algn="ctr" rotWithShape="0">
                  <a:prstClr val="black">
                    <a:alpha val="20000"/>
                  </a:prstClr>
                </a:outerShdw>
              </a:effectLst>
            </c:spPr>
          </c:dPt>
          <c:dPt>
            <c:idx val="7"/>
            <c:bubble3D val="false"/>
            <c:spPr>
              <a:solidFill>
                <a:schemeClr val="accent2">
                  <a:lumMod val="60000"/>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97.37%</a:t>
                    </a: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2.63%</a:t>
                    </a: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0.00%</c:formatCode>
                <c:ptCount val="8"/>
                <c:pt idx="0">
                  <c:v>0.9737</c:v>
                </c:pt>
                <c:pt idx="1" c:formatCode="General">
                  <c:v>0</c:v>
                </c:pt>
                <c:pt idx="2" c:formatCode="General">
                  <c:v>0</c:v>
                </c:pt>
                <c:pt idx="3" c:formatCode="General">
                  <c:v>0</c:v>
                </c:pt>
                <c:pt idx="4" c:formatCode="General">
                  <c:v>0</c:v>
                </c:pt>
                <c:pt idx="5" c:formatCode="General">
                  <c:v>0</c:v>
                </c:pt>
                <c:pt idx="6" c:formatCode="General">
                  <c:v>0</c:v>
                </c:pt>
                <c:pt idx="7">
                  <c:v>0.0263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支出决算图</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3"/>
              </a:solidFill>
              <a:ln>
                <a:noFill/>
              </a:ln>
              <a:effectLst>
                <a:outerShdw blurRad="254000" sx="102000" sy="102000" algn="ctr" rotWithShape="0">
                  <a:prstClr val="black">
                    <a:alpha val="20000"/>
                  </a:prstClr>
                </a:outerShdw>
              </a:effectLst>
            </c:spPr>
          </c:dPt>
          <c:dPt>
            <c:idx val="2"/>
            <c:bubble3D val="false"/>
            <c:spPr>
              <a:solidFill>
                <a:schemeClr val="accent5"/>
              </a:solidFill>
              <a:ln>
                <a:noFill/>
              </a:ln>
              <a:effectLst>
                <a:outerShdw blurRad="254000" sx="102000" sy="102000" algn="ctr" rotWithShape="0">
                  <a:prstClr val="black">
                    <a:alpha val="20000"/>
                  </a:prstClr>
                </a:outerShdw>
              </a:effectLst>
            </c:spPr>
          </c:dPt>
          <c:dPt>
            <c:idx val="3"/>
            <c:bubble3D val="false"/>
            <c:spPr>
              <a:solidFill>
                <a:schemeClr val="accent1">
                  <a:lumMod val="60000"/>
                </a:schemeClr>
              </a:solidFill>
              <a:ln>
                <a:noFill/>
              </a:ln>
              <a:effectLst>
                <a:outerShdw blurRad="254000" sx="102000" sy="102000" algn="ctr" rotWithShape="0">
                  <a:prstClr val="black">
                    <a:alpha val="20000"/>
                  </a:prstClr>
                </a:outerShdw>
              </a:effectLst>
            </c:spPr>
          </c:dPt>
          <c:dPt>
            <c:idx val="4"/>
            <c:bubble3D val="false"/>
            <c:spPr>
              <a:solidFill>
                <a:schemeClr val="accent3">
                  <a:lumMod val="60000"/>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65.70%</a:t>
                    </a: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34.30%</a:t>
                    </a: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dLbl>
              <c:idx val="2"/>
              <c:delete val="true"/>
            </c:dLbl>
            <c:dLbl>
              <c:idx val="3"/>
              <c:delete val="true"/>
            </c:dLbl>
            <c:dLbl>
              <c:idx val="4"/>
              <c:delete val="true"/>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Sheet1!$A$2:$A$6</c:f>
              <c:strCache>
                <c:ptCount val="5"/>
                <c:pt idx="0">
                  <c:v>基本支出</c:v>
                </c:pt>
                <c:pt idx="1">
                  <c:v>项目支出</c:v>
                </c:pt>
                <c:pt idx="2">
                  <c:v>上缴上级支出</c:v>
                </c:pt>
                <c:pt idx="3">
                  <c:v>经营支出 </c:v>
                </c:pt>
                <c:pt idx="4">
                  <c:v>对附属单位补助支出</c:v>
                </c:pt>
              </c:strCache>
            </c:strRef>
          </c:cat>
          <c:val>
            <c:numRef>
              <c:f>Sheet1!$B$2:$B$6</c:f>
              <c:numCache>
                <c:formatCode>0.00%</c:formatCode>
                <c:ptCount val="5"/>
                <c:pt idx="0">
                  <c:v>0.657</c:v>
                </c:pt>
                <c:pt idx="1">
                  <c:v>0.343</c:v>
                </c:pt>
                <c:pt idx="2" c:formatCode="0%">
                  <c:v>0</c:v>
                </c:pt>
                <c:pt idx="3" c:formatCode="0%">
                  <c:v>0</c:v>
                </c:pt>
                <c:pt idx="4" c:formatCode="0%">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13460</Words>
  <Characters>14787</Characters>
  <Lines>1</Lines>
  <Paragraphs>1</Paragraphs>
  <TotalTime>0</TotalTime>
  <ScaleCrop>false</ScaleCrop>
  <LinksUpToDate>false</LinksUpToDate>
  <CharactersWithSpaces>15357</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2022-03-25T20:40:00Z</dcterms:created>
  <dc:creator>Administrator</dc:creator>
  <cp:lastModifiedBy>root001</cp:lastModifiedBy>
  <cp:lastPrinted>2021-04-18T08:45:00Z</cp:lastPrinted>
  <dcterms:modified xsi:type="dcterms:W3CDTF">2024-08-02T17:09:23Z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CD18C8F1BDE745298521FDB2D2407ACB_12</vt:lpwstr>
  </property>
</Properties>
</file>