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公共法律服务工作经费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赤峰市司法局（部门）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年   月   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</w:t>
      </w:r>
      <w:r>
        <w:rPr>
          <w:rFonts w:ascii="方正小标宋简体" w:hAnsi="方正小标宋简体" w:eastAsia="方正小标宋简体" w:cs="方正小标宋简体"/>
          <w:sz w:val="44"/>
        </w:rPr>
        <w:t>年公共法律服务工作经费项目绩效自评报告</w:t>
      </w:r>
    </w:p>
    <w:p>
      <w:pPr>
        <w:numPr>
          <w:numId w:val="0"/>
        </w:numPr>
        <w:spacing w:line="240" w:lineRule="auto"/>
        <w:ind w:leftChars="0"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1.办公费16万元，用于法律援助值班律师法律服务、法律顾问费支出以及法律援助案卷评查法律服务费支出；2.差旅费6万元，用于公共法律服务、法律援助、律师公证、司法鉴定工作出差支出。</w:t>
      </w:r>
    </w:p>
    <w:p>
      <w:pPr>
        <w:numPr>
          <w:ilvl w:val="0"/>
          <w:numId w:val="1"/>
        </w:numPr>
        <w:spacing w:before="188" w:line="204" w:lineRule="auto"/>
        <w:ind w:firstLine="577"/>
        <w:rPr>
          <w:rFonts w:hint="eastAsia" w:ascii="仿宋" w:hAnsi="仿宋" w:eastAsia="仿宋" w:cs="仿宋"/>
          <w:spacing w:val="8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line="240" w:lineRule="auto"/>
        <w:ind w:left="0" w:leftChars="0" w:firstLine="632" w:firstLineChars="20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完成法律援助值班律师服务费发放、法律顾问聘用及法律援助案件评查工作，完成公共法律服务工作出差，提高公共法律服务水平。</w:t>
      </w:r>
    </w:p>
    <w:p>
      <w:pPr>
        <w:numPr>
          <w:ilvl w:val="0"/>
          <w:numId w:val="0"/>
        </w:numPr>
        <w:spacing w:line="240" w:lineRule="auto"/>
        <w:ind w:left="0" w:leftChars="0" w:firstLine="63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完成法律援助值班律师服务费发放、法律援助案件评查工作，完成公共法律服务工作出差，提高公共法律服务水平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eastAsia="zh-CN"/>
        </w:rPr>
        <w:t>。</w:t>
      </w:r>
    </w:p>
    <w:p>
      <w:pPr>
        <w:numPr>
          <w:numId w:val="0"/>
        </w:numPr>
        <w:spacing w:line="240" w:lineRule="auto"/>
        <w:ind w:leftChars="0"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二、绩效自评工作</w:t>
      </w:r>
      <w:r>
        <w:rPr>
          <w:rFonts w:hint="eastAsia" w:ascii="仿宋" w:hAnsi="仿宋" w:eastAsia="仿宋" w:cs="仿宋"/>
          <w:b/>
          <w:sz w:val="30"/>
          <w:szCs w:val="30"/>
        </w:rPr>
        <w:t>情况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为规范和加强财政支出管理，强化支出责任，建立科学、规范的财政支出绩效评价管理体系，提高财政资金使用效益，及时发现自身存在的问题，提出解决方案，采取有力的措施，确保项目顺利实施，及时发挥效益。我单位对公共法律服务工作经费项目进行绩效自评，对资金产出及其效益进行综合评价和判断，以达到科学使用资金，确保资金使用效益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before="189" w:line="640" w:lineRule="exact"/>
        <w:ind w:left="0" w:leftChars="0" w:firstLine="616" w:firstLineChars="200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>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hint="eastAsia" w:ascii="仿宋" w:hAnsi="仿宋" w:eastAsia="仿宋" w:cs="仿宋"/>
          <w:color w:val="auto"/>
          <w:spacing w:val="4"/>
          <w:sz w:val="30"/>
          <w:szCs w:val="30"/>
        </w:rPr>
        <w:t>22.00万元，其中：财政拨款22.00万元，其他资金0.00万元。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616" w:firstLineChars="20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hint="eastAsia" w:ascii="仿宋" w:hAnsi="仿宋" w:eastAsia="仿宋" w:cs="仿宋"/>
          <w:color w:val="auto"/>
          <w:spacing w:val="4"/>
          <w:sz w:val="30"/>
          <w:szCs w:val="30"/>
        </w:rPr>
        <w:t>22.00万元，其中：财政拨款22.00万元，其他资金0.00万元。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40" w:lineRule="exact"/>
        <w:ind w:left="0" w:leftChars="0" w:firstLine="616" w:firstLineChars="200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hint="eastAsia" w:ascii="仿宋" w:hAnsi="仿宋" w:eastAsia="仿宋" w:cs="仿宋"/>
          <w:color w:val="auto"/>
          <w:spacing w:val="4"/>
          <w:sz w:val="30"/>
          <w:szCs w:val="30"/>
        </w:rPr>
        <w:t>9.89万元，其中：财政拨款9.89万元，其他资金0.00万元。</w:t>
      </w:r>
    </w:p>
    <w:p>
      <w:pPr>
        <w:numPr>
          <w:ilvl w:val="0"/>
          <w:numId w:val="2"/>
        </w:numPr>
        <w:spacing w:before="188" w:line="204" w:lineRule="auto"/>
        <w:ind w:left="0" w:leftChars="0" w:firstLine="616" w:firstLineChars="200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本项目预算资金为22万元，到位资金22万元，实际支出资金9.89万元，预算执行率为44.95%。资金主要用于完成法律援助值班律师服务费发放、法律援助案件评查工作，完成公共法律服务工作出差，提高公共法律服务水平。各类资金支出准确无误，有完整的审批手续，不存在超范围超标准支出、挤占挪用等违法违规问题，财务处理合法合规。</w:t>
      </w:r>
    </w:p>
    <w:p>
      <w:pPr>
        <w:numPr>
          <w:ilvl w:val="0"/>
          <w:numId w:val="2"/>
        </w:numPr>
        <w:spacing w:before="189" w:line="204" w:lineRule="auto"/>
        <w:ind w:left="0" w:leftChars="0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项目预期目标已完成，我单位在遵守国家、自治区相关政策与管理办法的同时，还制定了本单位的财务管理制度，包括资金审批规定、“三重一大”集体决议、转移支付资金使用管理办法等。在制度上为公共法律服务工作经费项目资金使用提供了指导和规范。实际支出与项目规定的用途一致，不存在超范围超标准支出、挤占挪用等违法违规问题，资金管理规范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。</w:t>
      </w:r>
    </w:p>
    <w:p>
      <w:pPr>
        <w:numPr>
          <w:numId w:val="0"/>
        </w:numPr>
        <w:spacing w:line="240" w:lineRule="auto"/>
        <w:ind w:leftChars="0"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三、项目绩效情况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1、数量指标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1)法律援助律师值班时间，目标值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144天，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完成33.5天，分值5，得分1.16。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2)法律顾问数量，目标值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3人，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完成0人，分值5，得分0。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3)评查案卷数量，目标值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12卷/旗县区，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完成12卷/旗县区，分值5，得分5。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4)出差次数，目标值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大于等于</w:t>
      </w:r>
      <w:r>
        <w:rPr>
          <w:rFonts w:hint="eastAsia" w:ascii="仿宋" w:hAnsi="仿宋" w:eastAsia="仿宋" w:cs="仿宋"/>
          <w:sz w:val="30"/>
          <w:szCs w:val="30"/>
        </w:rPr>
        <w:t>12次，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完成12次，分值5，得分5。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2、质量指标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5)案卷质量，目标值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大于等于</w:t>
      </w:r>
      <w:r>
        <w:rPr>
          <w:rFonts w:hint="eastAsia" w:ascii="仿宋" w:hAnsi="仿宋" w:eastAsia="仿宋" w:cs="仿宋"/>
          <w:sz w:val="30"/>
          <w:szCs w:val="30"/>
        </w:rPr>
        <w:t>60分，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完成60分，分值5，得分5。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3、时效指标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6)结算及时率，目标值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大于等于</w:t>
      </w:r>
      <w:r>
        <w:rPr>
          <w:rFonts w:hint="eastAsia" w:ascii="仿宋" w:hAnsi="仿宋" w:eastAsia="仿宋" w:cs="仿宋"/>
          <w:sz w:val="30"/>
          <w:szCs w:val="30"/>
        </w:rPr>
        <w:t>95百分比，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完成100百分比，分值5，得分5。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4、成本指标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7)值班律师服务费，目标值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400元/天，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完成400元/天，分值5，得分5。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8)法律顾问费，目标值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3万元/人，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完成0万元/人，分值5，得分0。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9)案卷评查法律服务费，目标值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等于</w:t>
      </w:r>
      <w:r>
        <w:rPr>
          <w:rFonts w:hint="eastAsia" w:ascii="仿宋" w:hAnsi="仿宋" w:eastAsia="仿宋" w:cs="仿宋"/>
          <w:sz w:val="30"/>
          <w:szCs w:val="30"/>
        </w:rPr>
        <w:t>1000元/12卷，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完成1000元/12卷，分值5，得分5。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10)差旅费，目标值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小于等于</w:t>
      </w:r>
      <w:r>
        <w:rPr>
          <w:rFonts w:hint="eastAsia" w:ascii="仿宋" w:hAnsi="仿宋" w:eastAsia="仿宋" w:cs="仿宋"/>
          <w:sz w:val="30"/>
          <w:szCs w:val="30"/>
        </w:rPr>
        <w:t>5000元/次，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完成3.78元/次，分值5，得分5。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6、社会效益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11)为群众提供全方位高效法律服务，目标值有效提升，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完成有效提升，分值10，得分10。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12)公共法律服务水平，目标值有效提高，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完成有效提高，分值10，得分10。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8、可持续影响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13)持续发挥政府公共职能保障和改善民生，目标值长期影响，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完成长期影响，分值10，得分10。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9、服务对象满意度</w:t>
      </w:r>
    </w:p>
    <w:p>
      <w:pPr>
        <w:spacing w:line="240" w:lineRule="auto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14)公共法律服务对象满意率，目标值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大于等于</w:t>
      </w:r>
      <w:r>
        <w:rPr>
          <w:rFonts w:hint="eastAsia" w:ascii="仿宋" w:hAnsi="仿宋" w:eastAsia="仿宋" w:cs="仿宋"/>
          <w:sz w:val="30"/>
          <w:szCs w:val="30"/>
        </w:rPr>
        <w:t>95百分比，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完成85百分比，分值5，得分4.47。</w:t>
      </w:r>
    </w:p>
    <w:p>
      <w:pPr>
        <w:spacing w:line="6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15)法律顾问满意率，目标值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大于等于</w:t>
      </w:r>
      <w:r>
        <w:rPr>
          <w:rFonts w:hint="eastAsia" w:ascii="仿宋" w:hAnsi="仿宋" w:eastAsia="仿宋" w:cs="仿宋"/>
          <w:sz w:val="30"/>
          <w:szCs w:val="30"/>
        </w:rPr>
        <w:t>95百分比，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实际</w:t>
      </w:r>
      <w:r>
        <w:rPr>
          <w:rFonts w:hint="eastAsia" w:ascii="仿宋" w:hAnsi="仿宋" w:eastAsia="仿宋" w:cs="仿宋"/>
          <w:sz w:val="30"/>
          <w:szCs w:val="30"/>
        </w:rPr>
        <w:t>完成0百分比，分值5，得分0。</w:t>
      </w:r>
    </w:p>
    <w:p>
      <w:pPr>
        <w:spacing w:line="620" w:lineRule="exact"/>
        <w:ind w:left="480" w:leftChars="20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本项目绩效自评得分75.13分，等级为C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numId w:val="0"/>
        </w:numPr>
        <w:spacing w:line="240" w:lineRule="auto"/>
        <w:ind w:leftChars="0" w:firstLine="301" w:firstLineChars="1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sz w:val="30"/>
          <w:szCs w:val="30"/>
        </w:rPr>
        <w:t>存在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问题</w:t>
      </w:r>
    </w:p>
    <w:p>
      <w:pPr>
        <w:numPr>
          <w:ilvl w:val="0"/>
          <w:numId w:val="3"/>
        </w:numPr>
        <w:spacing w:line="240" w:lineRule="auto"/>
        <w:ind w:left="24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项目立项、实施存在问题。</w:t>
      </w:r>
    </w:p>
    <w:p>
      <w:pPr>
        <w:numPr>
          <w:ilvl w:val="0"/>
          <w:numId w:val="3"/>
        </w:numPr>
        <w:spacing w:line="240" w:lineRule="auto"/>
        <w:ind w:left="240" w:leftChars="0" w:firstLine="0" w:firstLineChars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资金管理使用存在问题。</w:t>
      </w:r>
    </w:p>
    <w:p>
      <w:pPr>
        <w:spacing w:line="240" w:lineRule="auto"/>
        <w:ind w:firstLine="301" w:firstLineChars="1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五、其他需要说明的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spacing w:line="240" w:lineRule="auto"/>
        <w:ind w:firstLine="906" w:firstLineChars="3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1.深化落实《优化营商环境条例》和法治化营商环境“十条举措”持续开展“万名律师进乡村”活动、“万所联万会”、“千名律师助万企”活动和民营企业“法治体检”活动，为企业和企业家提供全方位精准服务。</w:t>
      </w:r>
      <w:r>
        <w:rPr>
          <w:rFonts w:hint="eastAsia" w:ascii="仿宋" w:hAnsi="仿宋" w:eastAsia="仿宋" w:cs="仿宋"/>
          <w:spacing w:val="1"/>
          <w:sz w:val="30"/>
          <w:szCs w:val="30"/>
        </w:rPr>
        <w:cr/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2.完善公共法律服务体系，落实《全国公共法律服务体系建设规划（2021-2025年）》。</w:t>
      </w:r>
    </w:p>
    <w:p>
      <w:pPr>
        <w:spacing w:before="189" w:line="204" w:lineRule="auto"/>
        <w:ind w:firstLine="577"/>
        <w:rPr>
          <w:rFonts w:hint="eastAsia" w:ascii="仿宋" w:hAnsi="仿宋" w:eastAsia="仿宋" w:cs="仿宋"/>
          <w:spacing w:val="-1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keepNext w:val="0"/>
        <w:keepLines w:val="0"/>
        <w:widowControl/>
        <w:suppressLineNumbers w:val="0"/>
        <w:spacing w:line="240" w:lineRule="auto"/>
        <w:ind w:firstLine="604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pacing w:val="1"/>
          <w:sz w:val="30"/>
          <w:szCs w:val="30"/>
        </w:rPr>
        <w:t>.强化法律服务供给，深入贯彻落实《中华人民共和国法律援助法》推动解决地区间法律援助资源分布不均衡问题。</w:t>
      </w:r>
      <w:r>
        <w:rPr>
          <w:rFonts w:hint="eastAsia" w:ascii="仿宋" w:hAnsi="仿宋" w:eastAsia="仿宋" w:cs="仿宋"/>
          <w:spacing w:val="1"/>
          <w:sz w:val="30"/>
          <w:szCs w:val="30"/>
        </w:rPr>
        <w:cr/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    2</w:t>
      </w:r>
      <w:r>
        <w:rPr>
          <w:rFonts w:hint="eastAsia" w:ascii="仿宋" w:hAnsi="仿宋" w:eastAsia="仿宋" w:cs="仿宋"/>
          <w:spacing w:val="1"/>
          <w:sz w:val="30"/>
          <w:szCs w:val="30"/>
        </w:rPr>
        <w:t>.加快“智慧司法”建设与应用。</w:t>
      </w:r>
    </w:p>
    <w:p>
      <w:pPr>
        <w:spacing w:line="620" w:lineRule="exact"/>
        <w:ind w:firstLine="880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20" w:lineRule="exact"/>
        <w:ind w:left="590" w:firstLine="643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1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TEwMzBmYzMwMTc1MmUxY2NlMTYzMGUyODQ4M2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DB2FE0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ACFBC2D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  <w:rsid w:val="FFFB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1839</Words>
  <Characters>1975</Characters>
  <Lines>16</Lines>
  <Paragraphs>4</Paragraphs>
  <TotalTime>8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2021-01-19T23:13:00Z</dcterms:created>
  <dc:creator>Administrator</dc:creator>
  <cp:lastModifiedBy>微笑</cp:lastModifiedBy>
  <dcterms:modified xsi:type="dcterms:W3CDTF">2024-08-01T01:15:12Z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2CF270DEABCC4AC0B2D61ED60F3256AC</vt:lpwstr>
  </property>
</Properties>
</file>